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lang w:val="pl-PL"/>
        </w:rPr>
      </w:pPr>
      <w:r>
        <w:rPr>
          <w:b/>
          <w:lang w:val="pl-PL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2406015" cy="211328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lang w:val="pl-PL" w:eastAsia="pl-PL"/>
        </w:rPr>
      </w:pPr>
      <w:r>
        <w:rPr>
          <w:b/>
          <w:lang w:val="pl-PL" w:eastAsia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sz w:val="36"/>
          <w:szCs w:val="36"/>
          <w:u w:val="single"/>
          <w:lang w:val="pl-PL"/>
        </w:rPr>
        <w:t>SPECYFIKACJA ISTOTNYCH WARUNKÓW ZAMÓWIENIA</w:t>
      </w:r>
      <w:r>
        <w:rPr>
          <w:b/>
          <w:sz w:val="36"/>
          <w:szCs w:val="36"/>
          <w:lang w:val="pl-PL"/>
        </w:rPr>
        <w:t xml:space="preserve"> </w:t>
      </w:r>
    </w:p>
    <w:p>
      <w:pPr>
        <w:pStyle w:val="Normal"/>
        <w:jc w:val="center"/>
        <w:rPr>
          <w:b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PRZETARG NIEOGRANICZONY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PT. "</w:t>
      </w:r>
      <w:bookmarkStart w:id="0" w:name="__DdeLink__537_1814537634"/>
      <w:r>
        <w:rPr>
          <w:sz w:val="32"/>
          <w:szCs w:val="32"/>
          <w:lang w:val="pl-PL"/>
        </w:rPr>
        <w:t xml:space="preserve">PRZEBUDOWA PODDASZA NIEUŻYTKOWEGO NA CELE DYDAKTYCZNE, REWALIDACYJNE I REHABILITACYJNE </w:t>
        <w:br/>
        <w:t>W SPECJALNYM OŚRODKU SZKOLNO-WYCHOWAWCZYM IM. J. KORCZAKA W MŁAWIE</w:t>
      </w:r>
      <w:bookmarkEnd w:id="0"/>
      <w:r>
        <w:rPr>
          <w:sz w:val="32"/>
          <w:szCs w:val="32"/>
          <w:lang w:val="pl-PL"/>
        </w:rPr>
        <w:t xml:space="preserve"> Z PODZIAŁEM NA DWA ETAPY"</w:t>
      </w:r>
    </w:p>
    <w:p>
      <w:pPr>
        <w:pStyle w:val="Default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Zatwierdzam: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Anna Katarzyna Drozdowska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Dyrektor Ośrodka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lang w:val="pl-PL"/>
        </w:rPr>
        <w:t>ZAMAWIAJĄCY: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 xml:space="preserve">Specjalny Ośrodek Szkolno-Wychowawczy 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im. Janusza Korczaka w Mławie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06-500 Mława  ul. Słowackiego 16</w:t>
      </w:r>
    </w:p>
    <w:p>
      <w:pPr>
        <w:pStyle w:val="Normal"/>
        <w:jc w:val="center"/>
        <w:rPr/>
      </w:pPr>
      <w:r>
        <w:rPr>
          <w:rFonts w:cs="Monotype Corsiva"/>
          <w:sz w:val="32"/>
          <w:szCs w:val="32"/>
        </w:rPr>
        <w:t xml:space="preserve">tel. 23 654 34 11      e-mail:  </w:t>
      </w:r>
      <w:hyperlink r:id="rId3">
        <w:r>
          <w:rPr>
            <w:rStyle w:val="Czeinternetowe"/>
            <w:rFonts w:cs="Monotype Corsiva"/>
            <w:sz w:val="32"/>
            <w:szCs w:val="32"/>
          </w:rPr>
          <w:t>osw_mlawa@op.pl</w:t>
        </w:r>
      </w:hyperlink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woj. mazowieckie</w:t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shd w:fill="FFFFFF" w:val="clear"/>
          <w:lang w:val="pl-PL"/>
        </w:rPr>
        <w:t xml:space="preserve">Mława, dn. 08-06-2015 r. </w:t>
      </w:r>
      <w:r>
        <w:br w:type="page"/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I. Definicje i skróty: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Podstawowe definicje i skróty używane w specyfikacji istotnych warunków zamówienia: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1. </w:t>
      </w:r>
      <w:r>
        <w:rPr>
          <w:b/>
          <w:bCs/>
          <w:sz w:val="22"/>
          <w:szCs w:val="22"/>
          <w:lang w:val="pl-PL"/>
        </w:rPr>
        <w:t>Zamawiający</w:t>
      </w:r>
      <w:r>
        <w:rPr>
          <w:sz w:val="22"/>
          <w:szCs w:val="22"/>
          <w:lang w:val="pl-PL"/>
        </w:rPr>
        <w:t xml:space="preserve"> – </w:t>
      </w: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Adres do korespondencji: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Skrót</w:t>
      </w:r>
      <w:r>
        <w:rPr>
          <w:b/>
          <w:bCs/>
          <w:sz w:val="22"/>
          <w:szCs w:val="22"/>
          <w:lang w:val="pl-PL"/>
        </w:rPr>
        <w:t xml:space="preserve"> SOSW </w:t>
      </w:r>
      <w:r>
        <w:rPr>
          <w:sz w:val="22"/>
          <w:szCs w:val="22"/>
          <w:lang w:val="pl-PL"/>
        </w:rPr>
        <w:t xml:space="preserve">lub nazwa </w:t>
      </w:r>
      <w:r>
        <w:rPr>
          <w:b/>
          <w:bCs/>
          <w:sz w:val="22"/>
          <w:szCs w:val="22"/>
          <w:lang w:val="pl-PL"/>
        </w:rPr>
        <w:t xml:space="preserve">Ośrodek </w:t>
      </w:r>
      <w:r>
        <w:rPr>
          <w:sz w:val="22"/>
          <w:szCs w:val="22"/>
          <w:lang w:val="pl-PL"/>
        </w:rPr>
        <w:t>oznacza</w:t>
      </w:r>
      <w:r>
        <w:rPr>
          <w:b/>
          <w:bCs/>
          <w:sz w:val="22"/>
          <w:szCs w:val="22"/>
          <w:lang w:val="pl-PL"/>
        </w:rPr>
        <w:t xml:space="preserve"> Specjalny Ośrodek Szkolno-Wychowawczy w Mławie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</w:t>
      </w:r>
      <w:r>
        <w:rPr>
          <w:b/>
          <w:bCs/>
          <w:sz w:val="22"/>
          <w:szCs w:val="22"/>
          <w:lang w:val="pl-PL"/>
        </w:rPr>
        <w:t xml:space="preserve">Wykonawca – </w:t>
      </w:r>
      <w:r>
        <w:rPr>
          <w:sz w:val="22"/>
          <w:szCs w:val="22"/>
          <w:lang w:val="pl-PL"/>
        </w:rPr>
        <w:t>podmiot ubiegający się o udzielenie zamówienia.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Skrót </w:t>
      </w:r>
      <w:r>
        <w:rPr>
          <w:b/>
          <w:bCs/>
          <w:sz w:val="22"/>
          <w:szCs w:val="22"/>
          <w:lang w:val="pl-PL"/>
        </w:rPr>
        <w:t>SIWZ</w:t>
      </w:r>
      <w:r>
        <w:rPr>
          <w:sz w:val="22"/>
          <w:szCs w:val="22"/>
          <w:lang w:val="pl-PL"/>
        </w:rPr>
        <w:t xml:space="preserve"> oznacza specyfikację istotnych warunków zamówienia.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5. Skrót </w:t>
      </w:r>
      <w:r>
        <w:rPr>
          <w:b/>
          <w:bCs/>
          <w:sz w:val="22"/>
          <w:szCs w:val="22"/>
          <w:lang w:val="pl-PL"/>
        </w:rPr>
        <w:t xml:space="preserve">PZP </w:t>
      </w:r>
      <w:r>
        <w:rPr>
          <w:sz w:val="22"/>
          <w:szCs w:val="22"/>
          <w:lang w:val="pl-PL"/>
        </w:rPr>
        <w:t xml:space="preserve">lub słowo </w:t>
      </w:r>
      <w:r>
        <w:rPr>
          <w:b/>
          <w:bCs/>
          <w:sz w:val="22"/>
          <w:szCs w:val="22"/>
          <w:lang w:val="pl-PL"/>
        </w:rPr>
        <w:t>Ustawa</w:t>
      </w:r>
      <w:r>
        <w:rPr>
          <w:sz w:val="22"/>
          <w:szCs w:val="22"/>
          <w:lang w:val="pl-PL"/>
        </w:rPr>
        <w:t xml:space="preserve"> oznacza Ustawę z dnia  29 stycznia 2004 r. Prawo zamówień publicznych (</w:t>
      </w:r>
      <w:r>
        <w:rPr>
          <w:spacing w:val="2"/>
          <w:sz w:val="22"/>
          <w:szCs w:val="22"/>
          <w:lang w:val="pl-PL"/>
        </w:rPr>
        <w:t xml:space="preserve">Dz. U. </w:t>
        <w:br/>
        <w:t>z 2013 r. poz. 907 ze zmianami</w:t>
      </w:r>
      <w:r>
        <w:rPr>
          <w:sz w:val="22"/>
          <w:szCs w:val="22"/>
          <w:lang w:val="pl-PL"/>
        </w:rPr>
        <w:t>);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II. Nazwa, adres zamawiającego oraz jego dane identyfikacyjne:</w:t>
      </w:r>
    </w:p>
    <w:p>
      <w:pPr>
        <w:pStyle w:val="ListParagraph"/>
        <w:shd w:val="clear" w:color="auto" w:fill="FFFFFF"/>
        <w:ind w:left="0" w:hanging="0"/>
        <w:jc w:val="both"/>
        <w:rPr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1. Nazwa Zamawiającego:</w:t>
      </w:r>
      <w:r>
        <w:rPr>
          <w:rFonts w:cs="Times New Roman"/>
          <w:b/>
          <w:bCs/>
          <w:color w:val="008000"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2. </w:t>
      </w:r>
      <w:r>
        <w:rPr>
          <w:sz w:val="22"/>
          <w:szCs w:val="22"/>
          <w:lang w:val="pl-PL"/>
        </w:rPr>
        <w:t xml:space="preserve">Adres Zamawiającego: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3. NIP: 569-146-09-58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4. REGON: 000189204</w:t>
      </w:r>
    </w:p>
    <w:p>
      <w:pPr>
        <w:pStyle w:val="Normal"/>
        <w:shd w:val="clear" w:color="auto" w:fill="FFFFFF"/>
        <w:ind w:left="11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Godziny pracy Zamawiającego: od poniedziałku do piątku w godzinach o</w:t>
      </w:r>
      <w:r>
        <w:rPr>
          <w:sz w:val="22"/>
          <w:szCs w:val="22"/>
          <w:shd w:fill="FFFFFF" w:val="clear"/>
          <w:lang w:val="pl-PL"/>
        </w:rPr>
        <w:t xml:space="preserve">d  </w:t>
      </w:r>
      <w:r>
        <w:rPr>
          <w:b/>
          <w:bCs/>
          <w:sz w:val="22"/>
          <w:szCs w:val="22"/>
          <w:shd w:fill="FFFFFF" w:val="clear"/>
          <w:lang w:val="pl-PL"/>
        </w:rPr>
        <w:t>8.00 do 15.00</w:t>
      </w:r>
    </w:p>
    <w:p>
      <w:pPr>
        <w:pStyle w:val="Normal"/>
        <w:shd w:val="clear" w:color="auto" w:fill="FFFFFF"/>
        <w:tabs>
          <w:tab w:val="left" w:pos="3552" w:leader="none"/>
        </w:tabs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6. Numer telefonu: </w:t>
      </w:r>
      <w:r>
        <w:rPr>
          <w:b/>
          <w:bCs/>
          <w:sz w:val="22"/>
          <w:szCs w:val="22"/>
          <w:lang w:val="pl-PL"/>
        </w:rPr>
        <w:t>023 654  34 11</w:t>
      </w:r>
    </w:p>
    <w:p>
      <w:pPr>
        <w:pStyle w:val="Normal"/>
        <w:shd w:val="clear" w:color="auto" w:fill="FFFFFF"/>
        <w:tabs>
          <w:tab w:val="left" w:pos="3552" w:leader="none"/>
        </w:tabs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7. Numer faksu </w:t>
      </w:r>
      <w:r>
        <w:rPr>
          <w:b/>
          <w:bCs/>
          <w:sz w:val="22"/>
          <w:szCs w:val="22"/>
          <w:lang w:val="pl-PL"/>
        </w:rPr>
        <w:t>023  654 34 11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8. Adres strony internetowej: </w:t>
      </w:r>
      <w:hyperlink r:id="rId4">
        <w:bookmarkStart w:id="1" w:name="__DdeLink__611_123534159"/>
        <w:r>
          <w:rPr>
            <w:rStyle w:val="Czeinternetowe"/>
            <w:color w:val="000000"/>
            <w:sz w:val="22"/>
            <w:szCs w:val="22"/>
            <w:lang w:val="pl-PL"/>
          </w:rPr>
          <w:t>http://oswmlawa.esy.es/</w:t>
        </w:r>
      </w:hyperlink>
      <w:bookmarkEnd w:id="1"/>
      <w:r>
        <w:rPr>
          <w:color w:val="000000"/>
          <w:sz w:val="22"/>
          <w:szCs w:val="22"/>
          <w:lang w:val="pl-PL"/>
        </w:rPr>
        <w:t>,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9. Adres strony BIP:  </w:t>
      </w:r>
      <w:hyperlink r:id="rId5">
        <w:r>
          <w:rPr>
            <w:rStyle w:val="Czeinternetow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10. Adres poczty elektronicznej (e-mail) : </w:t>
      </w:r>
      <w:hyperlink r:id="rId6">
        <w:r>
          <w:rPr>
            <w:rStyle w:val="Czeinternetowe"/>
            <w:color w:val="000000"/>
            <w:sz w:val="22"/>
            <w:szCs w:val="22"/>
            <w:lang w:val="pl-PL"/>
          </w:rPr>
          <w:t>osw_mlawa@op.pl</w:t>
        </w:r>
      </w:hyperlink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11. Rachunek bankowy: </w:t>
      </w:r>
      <w:bookmarkStart w:id="2" w:name="__DdeLink__531_580018273"/>
      <w:r>
        <w:rPr>
          <w:b/>
          <w:bCs/>
          <w:color w:val="CC0000"/>
          <w:sz w:val="22"/>
          <w:szCs w:val="22"/>
          <w:lang w:val="pl-PL"/>
        </w:rPr>
        <w:t>zmiana nr konta</w:t>
      </w:r>
      <w:r>
        <w:rPr>
          <w:b/>
          <w:bCs/>
          <w:color w:val="CC0000"/>
          <w:sz w:val="22"/>
          <w:szCs w:val="22"/>
          <w:u w:val="single"/>
          <w:lang w:val="pl-PL"/>
        </w:rPr>
        <w:t xml:space="preserve"> Bank Spółdzielczy w Ciechanowie Oddział w Mławie</w:t>
      </w:r>
    </w:p>
    <w:p>
      <w:pPr>
        <w:pStyle w:val="Normal"/>
        <w:jc w:val="both"/>
        <w:rPr/>
      </w:pPr>
      <w:r>
        <w:rPr>
          <w:b/>
          <w:bCs/>
          <w:color w:val="CC0000"/>
          <w:sz w:val="22"/>
          <w:szCs w:val="22"/>
          <w:u w:val="single"/>
          <w:lang w:val="pl-PL"/>
        </w:rPr>
        <w:t>nr konta 19 8213 0008 2003 0400 5331 0006</w:t>
      </w:r>
      <w:bookmarkEnd w:id="2"/>
      <w:r>
        <w:rPr>
          <w:b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do wpłaty wadium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III. Określenie trybu zamówienia: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przetarg nieograniczony na roboty budowlane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IV. Oznaczenie postępowania: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Postępowanie oznaczone jest jako: SOSW.ZP.271.2.2015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V. Adres strony internetowej, na której zamieszczona będzie specyfikacja istotnych warunków zamówienia:</w:t>
      </w:r>
    </w:p>
    <w:p>
      <w:pPr>
        <w:pStyle w:val="Default"/>
        <w:rPr/>
      </w:pPr>
      <w:hyperlink r:id="rId7">
        <w:r>
          <w:rPr>
            <w:rStyle w:val="Czeinternetow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  <w:r>
        <w:rPr>
          <w:sz w:val="22"/>
          <w:szCs w:val="22"/>
          <w:lang w:val="pl-PL"/>
        </w:rPr>
        <w:t xml:space="preserve"> w dziale Inne informacje/Przetargi</w:t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lang w:val="pl-PL"/>
        </w:rPr>
        <w:t>Specyfikację istotnych warunków zamówienia można uzyskać pod adresem:</w:t>
      </w:r>
      <w:r>
        <w:rPr>
          <w:sz w:val="22"/>
          <w:szCs w:val="22"/>
          <w:lang w:val="pl-PL"/>
        </w:rPr>
        <w:t xml:space="preserve"> </w:t>
      </w:r>
    </w:p>
    <w:p>
      <w:pPr>
        <w:pStyle w:val="Default"/>
        <w:rPr/>
      </w:pPr>
      <w:r>
        <w:rPr>
          <w:sz w:val="22"/>
          <w:szCs w:val="22"/>
          <w:lang w:val="pl-PL"/>
        </w:rPr>
        <w:t>Ośrodek Szkolno-Wychowawczy w Mławie, 06-500 Mława, ul. Słowackiego 16, Sekretariat- parter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VI. Określenie przedmiotu oraz wielkości lub zakresu zamówienia, z podaniem informacji o możliwości składania ofert częściowych i wariantowych oraz zamówień uzupełniających: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lang w:val="pl-PL"/>
        </w:rPr>
        <w:t>1. Określenie przedmiotu zamówienia:</w:t>
      </w:r>
    </w:p>
    <w:p>
      <w:pPr>
        <w:pStyle w:val="Default"/>
        <w:jc w:val="both"/>
        <w:rPr/>
      </w:pPr>
      <w:r>
        <w:rPr>
          <w:sz w:val="22"/>
          <w:szCs w:val="22"/>
          <w:lang w:val="pl-PL"/>
        </w:rPr>
        <w:t>Przedmiotem zamówienia jest przebudowa poddasza nieużytkowego na cele dydaktyczne, rewalidacyjne</w:t>
        <w:br/>
        <w:t>i rehabilitacyjne w Specjalnym Ośrodku Szkolno-Wychowawczym im. J. Korczaka w Mławie z podziałem na dwa etapy.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Określenie przedmiotu zamówienia zawiera:</w:t>
      </w:r>
    </w:p>
    <w:p>
      <w:pPr>
        <w:pStyle w:val="Normal"/>
        <w:jc w:val="both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- </w:t>
      </w:r>
      <w:r>
        <w:rPr>
          <w:color w:val="000000"/>
          <w:sz w:val="22"/>
          <w:szCs w:val="22"/>
          <w:lang w:val="pl-PL"/>
        </w:rPr>
        <w:t>Projekty i specyfikację techniczną robót budowlanych, branży instalacyjno-sanitarnej oraz instalacji elektrycznej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- </w:t>
      </w:r>
      <w:r>
        <w:rPr>
          <w:sz w:val="22"/>
          <w:szCs w:val="22"/>
          <w:lang w:val="pl-PL"/>
        </w:rPr>
        <w:t>Rzut dachu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parteru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piętra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piwnic, poddasza.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- </w:t>
      </w:r>
      <w:r>
        <w:rPr>
          <w:bCs/>
          <w:sz w:val="22"/>
          <w:szCs w:val="22"/>
          <w:lang w:val="pl-PL"/>
        </w:rPr>
        <w:t>Kosztorys nakładczy instalacje branża instalacyjno-sanitarna, instalacji elektrycznej oraz robót budowlanych</w:t>
      </w:r>
      <w:r>
        <w:rPr>
          <w:bCs/>
          <w:sz w:val="18"/>
          <w:szCs w:val="18"/>
          <w:lang w:val="pl-PL"/>
        </w:rPr>
        <w:t>.</w:t>
      </w:r>
    </w:p>
    <w:p>
      <w:pPr>
        <w:pStyle w:val="Default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2. Zakres zamówienia:</w:t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Zakres robót - ETAP I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1. wzmocnienie konstrukcji drewnianej dachu,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2. wykonanie warstw izolacji cieplnej dachu,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3. wykonanie ścianek działowych,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4. nadbudowa ścian szybu windy,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5. nadbudowa kominów z przewodami wentylacyjnymi, </w:t>
      </w:r>
    </w:p>
    <w:p>
      <w:pPr>
        <w:pStyle w:val="Default"/>
        <w:tabs>
          <w:tab w:val="left" w:pos="360" w:leader="none"/>
        </w:tabs>
        <w:jc w:val="both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>6. osadzenie okien,</w:t>
      </w:r>
    </w:p>
    <w:p>
      <w:pPr>
        <w:pStyle w:val="Default"/>
        <w:tabs>
          <w:tab w:val="left" w:pos="360" w:leader="none"/>
        </w:tabs>
        <w:jc w:val="both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>7. uszczelnienie dachu,</w:t>
      </w:r>
    </w:p>
    <w:p>
      <w:pPr>
        <w:pStyle w:val="Normal"/>
        <w:tabs>
          <w:tab w:val="left" w:pos="360" w:leader="none"/>
        </w:tabs>
        <w:jc w:val="both"/>
        <w:rPr>
          <w:shd w:fill="FFFFFF" w:val="clear"/>
          <w:lang w:val="pl-PL"/>
        </w:rPr>
      </w:pPr>
      <w:r>
        <w:rPr>
          <w:b/>
          <w:color w:val="000000"/>
          <w:sz w:val="22"/>
          <w:szCs w:val="22"/>
          <w:shd w:fill="FFFFFF" w:val="clear"/>
          <w:lang w:val="pl-PL"/>
        </w:rPr>
        <w:t>Zakres robót - ETAP II</w:t>
      </w:r>
    </w:p>
    <w:p>
      <w:pPr>
        <w:pStyle w:val="Default"/>
        <w:tabs>
          <w:tab w:val="left" w:pos="360" w:leader="none"/>
        </w:tabs>
        <w:jc w:val="both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8. wykonanie wydzielenia i oddymiania klatek schodowych,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9. wykonanie sufitów na konstrukcji drewnianej,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10. drzwi wewnętrznych,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11. wykonanie instalacji wewnętrznych: elektrycznych, wodno-kanalizacyjnych, grzewczych, </w:t>
      </w:r>
    </w:p>
    <w:p>
      <w:pPr>
        <w:pStyle w:val="Default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>12. wykonanie robót wykończeniowych.</w:t>
      </w:r>
    </w:p>
    <w:p>
      <w:pPr>
        <w:pStyle w:val="Normal"/>
        <w:tabs>
          <w:tab w:val="left" w:pos="360" w:leader="none"/>
        </w:tabs>
        <w:jc w:val="both"/>
        <w:rPr>
          <w:b/>
          <w:b/>
          <w:sz w:val="22"/>
          <w:szCs w:val="22"/>
          <w:shd w:fill="FFFFFF" w:val="clear"/>
          <w:lang w:val="pl-PL"/>
        </w:rPr>
      </w:pPr>
      <w:r>
        <w:rPr>
          <w:b/>
          <w:sz w:val="22"/>
          <w:szCs w:val="22"/>
          <w:shd w:fill="FFFFFF" w:val="clear"/>
          <w:lang w:val="pl-PL"/>
        </w:rPr>
      </w:r>
    </w:p>
    <w:p>
      <w:pPr>
        <w:pStyle w:val="Normal"/>
        <w:tabs>
          <w:tab w:val="left" w:pos="360" w:leader="none"/>
        </w:tabs>
        <w:jc w:val="both"/>
        <w:rPr>
          <w:b/>
          <w:b/>
          <w:sz w:val="22"/>
          <w:szCs w:val="22"/>
          <w:shd w:fill="FFFFFF" w:val="clear"/>
          <w:lang w:val="pl-PL"/>
        </w:rPr>
      </w:pPr>
      <w:r>
        <w:rPr>
          <w:b/>
          <w:sz w:val="22"/>
          <w:szCs w:val="22"/>
          <w:shd w:fill="FFFFFF" w:val="clear"/>
          <w:lang w:val="pl-PL"/>
        </w:rPr>
        <w:t>Zamawiający wyklucza z przetargu zakup i instalację nowej windy – przetarg dotyczy wyłącznie nadbudowy szybu windy.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Zamówienie obejmuje także: poniesienie kosztów wywózki np. gruzu, zagospodarowania  we własnym zakresie nadmiaru odpadów, odtworzenia stanu istniejącego terenu wykorzystywanego w czasie prowadzenia robót. </w:t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shd w:fill="FFFFFF" w:val="clear"/>
          <w:lang w:val="pl-PL"/>
        </w:rPr>
        <w:t>Szczegółowy opis przedmiotu zamówienia określa dokumentacja projektowo – kosztorysowa, będąca załącznikiem do SIWZ.</w:t>
      </w:r>
    </w:p>
    <w:p>
      <w:pPr>
        <w:pStyle w:val="Normal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Kody i nazwy stosowane we Wspólnym Słowniku Zamówień (CPV):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45100000-8   roboty przygotowawcze i rozbiórkowe,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45262300-4   betonowanie,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45262310-7   zbrojenie,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45265200-6   roboty murowe,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45261100-5   konstrukcja drewniana,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45261000-4  pokrycie dachowe,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45260000-7 izolacje,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45400000-1 roboty wykończeniowe,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45410000-4 tynkowanie,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45330000-9  roboty instalacyjne wodno– kanalizacyjne i sanitarne,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45310000-3 roboty elektryczne wew.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45333000-0 roboty instalacyjne gazowe</w:t>
      </w:r>
    </w:p>
    <w:p>
      <w:pPr>
        <w:pStyle w:val="Default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3. Możliwość składania ofert częściowych i  wariantowych: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ofert częściowych i wariantowych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4. Możliwość składania zamówień uzupełniających: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VII. Miejsce i termin wykonania zamówienia: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1. Miejsce wykonania zamówienia: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06-500 Mława, ul. Słowackiego 16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2. Termin wykonania zamówienia:</w:t>
      </w:r>
    </w:p>
    <w:p>
      <w:pPr>
        <w:pStyle w:val="Default"/>
        <w:rPr>
          <w:shd w:fill="FFFFFF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- ETAP I – do 31.10.2015 rok</w:t>
      </w:r>
    </w:p>
    <w:p>
      <w:pPr>
        <w:pStyle w:val="Default"/>
        <w:rPr>
          <w:shd w:fill="FFFFFF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- ETAP II – do 31.07.2016 rok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VIII. Warunki udziału w postępowaniu oraz opis sposobu dokonywania oceny spełniania tych warunków:</w:t>
      </w:r>
    </w:p>
    <w:p>
      <w:pPr>
        <w:pStyle w:val="Default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Warunki udziału w postępowaniu o  udzielenie zamówienia mogą ubiegać się wykonawcy, którzy spełnią następujące warunki:</w:t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1) Posiadają uprawnienia do wykonywania określonej działalności lub czynności, jeżeli ustawy nakładają obowiązek posiadania takich uprawnień 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Warunek zostanie uznany za spełniony, jeżeli wykonawca przedstawi:</w:t>
      </w:r>
    </w:p>
    <w:p>
      <w:pPr>
        <w:pStyle w:val="Normal"/>
        <w:suppressAutoHyphens w:val="false"/>
        <w:ind w:left="283" w:hanging="283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tabs>
          <w:tab w:val="left" w:pos="360" w:leader="none"/>
        </w:tabs>
        <w:ind w:left="284" w:hanging="284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2) Posiadają niezbędną wiedzę i doświadczenie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ind w:left="567" w:hanging="207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- wykaz wykonanych robót budowlanych w okresie ostatnich pięciu lat przed upływem terminu składania ofert, </w:t>
        <w:br/>
        <w:t xml:space="preserve">a jeżeli okres prowadzenia działalności jest krótszy — w tym okresie, z podaniem ich rodzaju i wartości, daty </w:t>
        <w:br/>
        <w:t>i miejsca wykonania oraz  z załączeniem dowodów dotyczących najważniejszych robót, określających, czy roboty te zostały wykonane w sposób należyty oraz wskazujących, czy zostały wykonane zgodnie z zasadami sztuki budowlanej i prawidłowo ukończone</w:t>
      </w:r>
      <w:r>
        <w:rPr>
          <w:b/>
          <w:color w:val="0000FF"/>
          <w:sz w:val="22"/>
          <w:szCs w:val="22"/>
          <w:lang w:val="pl-PL"/>
        </w:rPr>
        <w:t xml:space="preserve">. </w:t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3) Dysponują potencjałem technicznym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4) Dysponują osobami zdolnymi do wykonania zamówienia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360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publicznych.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5) Znajdują się w sytuacji ekonomicznej i finansowej zapewniającej wykonanie niniejszego zamówienia</w:t>
      </w:r>
    </w:p>
    <w:p>
      <w:pPr>
        <w:pStyle w:val="BodyText3"/>
        <w:spacing w:before="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zostaje uznany za spełniony na podstawie: </w:t>
      </w:r>
    </w:p>
    <w:p>
      <w:pPr>
        <w:pStyle w:val="Normal"/>
        <w:ind w:left="567" w:hanging="283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22 ust.1 pkt. 1-4 ustawy z dnia 29 stycznia 2004r. Prawo zamówień publicznych.</w:t>
      </w:r>
    </w:p>
    <w:p>
      <w:pPr>
        <w:pStyle w:val="Normal"/>
        <w:ind w:left="284" w:hanging="284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6) Nie podlegają wykluczeniu z postępowania na podstawie art. 24 ustawy z dnia 29 stycznia 2004 r. Prawo zamówień publicznych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>Warunek zostanie spełniony, jeżeli wykonawca przedłoży:</w:t>
      </w:r>
    </w:p>
    <w:p>
      <w:pPr>
        <w:pStyle w:val="Normal"/>
        <w:ind w:left="567" w:hanging="283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24 ust.1 i 2 ustawy z dnia 29 stycznia 2004r. Prawo zamówień publicznych,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 przypadku wspólnego ubiegania się udzielenie zamówienia przez dwóch lub więcej wykonawców w ofercie muszą być złożone w/w dokumenty przez każdego z nich.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Ocena spełnienia warunków dokonana zostanie zgodnie z regułą </w:t>
      </w:r>
      <w:r>
        <w:rPr>
          <w:b/>
          <w:color w:val="000000"/>
          <w:sz w:val="22"/>
          <w:szCs w:val="22"/>
          <w:u w:val="single"/>
          <w:lang w:val="pl-PL"/>
        </w:rPr>
        <w:t>spełnia – nie spełnia.</w:t>
      </w:r>
    </w:p>
    <w:p>
      <w:pPr>
        <w:pStyle w:val="Normal"/>
        <w:jc w:val="both"/>
        <w:rPr>
          <w:i/>
          <w:i/>
          <w:color w:val="000000"/>
          <w:sz w:val="22"/>
          <w:szCs w:val="22"/>
          <w:lang w:val="pl-PL"/>
        </w:rPr>
      </w:pPr>
      <w:r>
        <w:rPr>
          <w:i/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IX. Informację na temat wadium: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1. Każdy składający ofertę wnosi wadium w wysokości :  20 000,00  zł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(słownie: dwadzieścia tysięcy zł 00/100)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2. Wadium wnosi się przed upływem terminu składania ofert.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3. Wadium może być wnoszone w jednej lub kilku następujących formach: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1) pieniądzu;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2) poręczeniach bankowych lub poręczeniach spółdzielczej kasy oszczędnościowo-kredytowej, z tym że poręczenie kasy jest zawsze poręczeniem pieniężnym;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3) gwarancjach bankowych;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4) gwarancjach ubezpieczeniowych;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5) poręczeniach udzielanych przez podmioty, o których mowa w art. 6b ust. 5 pkt 2 ustawy z dnia 9 listopada 2000 r. </w:t>
        <w:br/>
        <w:t>o utworzeniu Polskiej Agencji Rozwoju Przedsiębiorczości (Dz. U. z 2007 r. Nr 42, poz. 275, z późn. zm.).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Wadium w innej formie niż pieniądz należy złożyć w oryginale w Sekretariacie Zamawiającego lub dołączyć </w:t>
        <w:br/>
        <w:t xml:space="preserve">do oferty w osobnej kopercie opisanej: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"Wadium przetargowe – przebudowa poddasza nieużytkowego na cele dydaktyczne, rewalidacyjne i rehabilitacyjne </w:t>
        <w:br/>
        <w:t>w Specjalnym Ośrodku Szkolno-Wychowawczym im. J. Korczaka w Mławie z podziałem na dwa etapy"</w:t>
      </w:r>
    </w:p>
    <w:p>
      <w:pPr>
        <w:pStyle w:val="Default"/>
        <w:jc w:val="both"/>
        <w:rPr/>
      </w:pPr>
      <w:r>
        <w:rPr>
          <w:sz w:val="22"/>
          <w:szCs w:val="22"/>
          <w:lang w:val="pl-PL"/>
        </w:rPr>
        <w:t xml:space="preserve">4. Wadium wnoszone w pieniądzu wpłaca się przelewem na rachunek bankowy wskazany przez zamawiającego: </w:t>
      </w:r>
      <w:bookmarkStart w:id="3" w:name="__DdeLink__1128_1406218197"/>
      <w:r>
        <w:rPr>
          <w:b/>
          <w:bCs/>
          <w:color w:val="CC0000"/>
          <w:sz w:val="22"/>
          <w:szCs w:val="22"/>
          <w:lang w:val="pl-PL"/>
        </w:rPr>
        <w:t>zmiana nr konta</w:t>
      </w:r>
    </w:p>
    <w:p>
      <w:pPr>
        <w:pStyle w:val="Default"/>
        <w:jc w:val="both"/>
        <w:rPr>
          <w:lang w:val="pl-PL"/>
        </w:rPr>
      </w:pPr>
      <w:r>
        <w:rPr>
          <w:b/>
          <w:bCs/>
          <w:color w:val="CC0000"/>
          <w:sz w:val="22"/>
          <w:szCs w:val="22"/>
          <w:u w:val="single"/>
          <w:lang w:val="pl-PL"/>
        </w:rPr>
        <w:t>Bank Spółdzielczy w Ciechanowie Oddział w Mławie</w:t>
      </w:r>
    </w:p>
    <w:p>
      <w:pPr>
        <w:pStyle w:val="Default"/>
        <w:jc w:val="both"/>
        <w:rPr>
          <w:b/>
          <w:b/>
          <w:bCs/>
          <w:color w:val="CC0000"/>
          <w:u w:val="single"/>
        </w:rPr>
      </w:pPr>
      <w:bookmarkEnd w:id="3"/>
      <w:r>
        <w:rPr>
          <w:b/>
          <w:bCs/>
          <w:color w:val="CC0000"/>
          <w:sz w:val="22"/>
          <w:szCs w:val="22"/>
          <w:u w:val="single"/>
          <w:lang w:val="pl-PL"/>
        </w:rPr>
        <w:t>nr konta 19 8213 0008 2003 0400 5331 0006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tytule napisać "Wadium przetargowe - Zamówienie publiczne nr SOSW.ZP.271.2.2015”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 Wadium wniesione w pieniądzu zamawiający przechowuje na rachunku bankowym.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6. Wadium musi być wniesione najpóźniej do dnia i godziny wyznaczonej na składanie ofert.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7. Jeżeli przed upływem terminu składania ofert Wykonawca wycofa się z przetargu, Zamawiający dokona zwrotu wadium w terminie 3 dni od daty pisemnego zawiadomienia o wycofaniu się.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8. Wykonawca, który nie wniesie wadium na zasadach określonych w SIWZ zostanie wykluczony  z postępowania.</w:t>
      </w:r>
    </w:p>
    <w:p>
      <w:pPr>
        <w:pStyle w:val="Normal"/>
        <w:spacing w:before="120" w:after="120"/>
        <w:ind w:left="540" w:hanging="540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 xml:space="preserve">X. </w:t>
      </w: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>Wymagania dotyczące zabezpieczenia należytego wykonania umowy:</w:t>
      </w:r>
    </w:p>
    <w:p>
      <w:pPr>
        <w:pStyle w:val="Default"/>
        <w:spacing w:before="120" w:after="120"/>
        <w:ind w:left="540" w:hanging="5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Zamawiający może żądać od wykonawcy zabezpieczenia należytego wykonania umowy, zwanego dalej „zabezpieczeniem”.</w:t>
      </w:r>
    </w:p>
    <w:p>
      <w:pPr>
        <w:pStyle w:val="Default"/>
        <w:spacing w:before="120" w:after="120"/>
        <w:ind w:left="540" w:hanging="5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Zabezpieczenie służy pokryciu roszczeń z tytułu niewykonania lub nienależytego wykonania umowy.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Zabezpieczenie może być wnoszone według wyboru wykonawcy w jednej lub w kilku następujących formach: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1) pieniądzu;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2) poręczeniach bankowych lub poręczeniach spółdzielczej kasy oszczędnościowo-kredytowej, z tym że zobowiązanie kasy jest zawsze zobowiązaniem pieniężnym;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3) gwarancjach bankowych;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4) gwarancjach ubezpieczeniowych;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5) poręczeniach udzielanych przez podmioty, o których mowa w art. 6b ust. 5 pkt 2 ustawy z dnia 9 listopada 2000 r. </w:t>
        <w:br/>
        <w:t xml:space="preserve">o utworzeniu Polskiej Agencji Rozwoju Przedsiębiorczości. </w:t>
      </w:r>
    </w:p>
    <w:p>
      <w:pPr>
        <w:pStyle w:val="Default"/>
        <w:jc w:val="both"/>
        <w:rPr/>
      </w:pPr>
      <w:r>
        <w:rPr>
          <w:sz w:val="22"/>
          <w:szCs w:val="22"/>
          <w:lang w:val="pl-PL"/>
        </w:rPr>
        <w:t xml:space="preserve">4. Zabezpieczenie wnoszone w pieniądzu wykonawca wpłaca przelewem na rachunek bankowy wskazany przez zamawiającego nr 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bCs/>
          <w:color w:val="CC0000"/>
          <w:sz w:val="22"/>
          <w:szCs w:val="22"/>
          <w:lang w:val="pl-PL"/>
        </w:rPr>
        <w:t>zmiana nr konta</w:t>
      </w:r>
      <w:r>
        <w:rPr>
          <w:b/>
          <w:bCs/>
          <w:color w:val="CC0000"/>
          <w:sz w:val="22"/>
          <w:szCs w:val="22"/>
          <w:u w:val="single"/>
          <w:lang w:val="pl-PL"/>
        </w:rPr>
        <w:t xml:space="preserve"> Bank Spółdzielczy w Ciechanowie Oddział w Mławie</w:t>
      </w:r>
    </w:p>
    <w:p>
      <w:pPr>
        <w:pStyle w:val="Default"/>
        <w:jc w:val="both"/>
        <w:rPr/>
      </w:pPr>
      <w:r>
        <w:rPr>
          <w:b/>
          <w:bCs/>
          <w:color w:val="CC0000"/>
          <w:sz w:val="22"/>
          <w:szCs w:val="22"/>
          <w:u w:val="single"/>
          <w:lang w:val="pl-PL"/>
        </w:rPr>
        <w:t>nr konta 19 8213 0008 2003 0400 5331 0006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5. W przypadku wniesienia wadium w pieniądzu wykonawca może wyrazić zgodę na zaliczenie kwoty wadium na poczet zabezpieczenia.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 xml:space="preserve">. W trakcie realizacji umowy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8. Za zgodą zamawiającego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9. Zmiana formy zabezpieczenia jest dokonywana z zachowaniem ciągłości zabezpieczenia i bez zmniejszenia jego wysokości.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10. Zabezpieczenie ustala się w wysokości 10% ceny całkowitej podanej w ofercie.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11. Zamawiający wpłaca kwoty potrącane na rachunek bankowy w tym samym dniu, w którym dokonuje zapłaty faktury.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12. Zamawiający zwraca zabezpieczenie w terminie 30 dni od dnia wykonania zamówienia i uznania przez zamawiającego za należycie wykonane.</w:t>
      </w:r>
    </w:p>
    <w:p>
      <w:pPr>
        <w:pStyle w:val="Normal"/>
        <w:spacing w:before="120" w:after="120"/>
        <w:ind w:left="540" w:hanging="540"/>
        <w:jc w:val="both"/>
        <w:rPr>
          <w:u w:val="single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XI. Oświadczenia i dokumenty, jakie mają dostarczyć wykonawcy w celu potwierdzenia spełniania warunków udziału w postępowaniu: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Wypełniony Formularz oferty wraz z załącznikami zgodnie ze wzorem stanowiącym Załącznik Nr 1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Podpisane Oświadczenia o spełnieniu warunku udziału w postępowaniu stanowiące Załącznik Nr 2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Podpisane Oświadczenie o niepodleganiu wykluczeniu stanowiące Załącznik Nr 3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Wykaz, jakie części zamówienia Wykonawca zamierza powierzyć podwykonawcom stanowiące Załącznik Nr 4 do SIWZ.</w:t>
      </w:r>
    </w:p>
    <w:p>
      <w:pPr>
        <w:pStyle w:val="Normal"/>
        <w:numPr>
          <w:ilvl w:val="0"/>
          <w:numId w:val="2"/>
        </w:numPr>
        <w:tabs>
          <w:tab w:val="left" w:pos="341" w:leader="none"/>
          <w:tab w:val="left" w:pos="39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Listę podmiotów należących do tej samej grupy kapitałowej zgodnie z art. 26 ust 2d ustawy Pzp, Załącznik </w:t>
        <w:br/>
        <w:t>Nr 5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sz w:val="22"/>
          <w:szCs w:val="22"/>
          <w:lang w:val="pl-PL"/>
        </w:rPr>
        <w:t>Wykaz wykonanych robot budowlanych, Załącznik Nr 6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  <w:r>
        <w:rPr>
          <w:color w:val="000000"/>
          <w:sz w:val="22"/>
          <w:szCs w:val="22"/>
          <w:lang w:val="pl-PL"/>
        </w:rPr>
        <w:t xml:space="preserve">stanowiące Załącznik Nr 7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Projekt umowy stanowiące Załącznik Nr 8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Aktualny odpis z właściwego rejestru w celu wykazania braku podstaw do wykluczenia w oparciu o art. 24 ust.1 pkt. 2 ustawy pzp, (w przypadku przedsiębiorców występujących wspólnie ( m.in. spółki cywilne, konsorcja ), podmiotów udostępniających zasoby na zasadach określonych w art. 26 ust. 2b a biorących udział w realizacji części zamówienia  - odpis z właściwego rejestru każdego  podmiotu  )  –wystawione nie wcześniej niż 6  miesięcy przed upływem terminu  składania ofert  a w stosunku do osób fizycznych  oświadczenia w zakresie art.24 ust.1  pkt.  </w:t>
      </w:r>
      <w:r>
        <w:rPr>
          <w:sz w:val="22"/>
          <w:szCs w:val="22"/>
        </w:rPr>
        <w:t>2 ustawy 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lang w:val="pl-PL"/>
        </w:rPr>
      </w:pPr>
      <w:r>
        <w:rPr>
          <w:sz w:val="22"/>
          <w:szCs w:val="22"/>
          <w:lang w:val="pl-PL"/>
        </w:rPr>
        <w:t>Aktualne zaświadczenie właściwego naczelnika urzędu skarbowego potwierdzające, że wykonawca</w:t>
        <w:br/>
        <w:t xml:space="preserve">(w przypadku przedsiębiorców występujących wspólnie ( m.in. spółki cywilne, konsorcja ), podmiotów udostępniających zasoby na zasadach określonych w art. 26 ust. 2b  a biorących udział w realizacji części zamówienia - zaświadczenie każdy podmiot składa oddzielnie ) nie zalega  z płaceniem  podatków  lub zaświadczenie, że wykonawca  uzyskał przewidziane  prawem  zwolnienie, odroczenie  lub  rozłożenie na raty zaległych płatności, lub wstrzymanie  w całości wykonania decyzji właściwego organu – wystawione nie wcześniej  niż 3 miesiące  przed  upływem  terminu składania  ofert.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Aktualne zaświadczenie z właściwego  oddziału Zakładu  Ubezpieczeń Społecznych lub Kasy  Rolniczego Ubezpieczenia  Społecznego potwierdzające, że wykonawca  (w przypadku przedsiębiorców występujących wspólnie ( m.in. spółki cywilne, konsorcja ), podmiotów udostępniających zasoby na zasadach określonych </w:t>
        <w:br/>
        <w:t>w art. 26 ust. 2b a biorących udział  w realizacji części zamówienia - zaświadczenie każdy podmiot składa oddzielnie ) nie zalega z opłacaniem opłat oraz składek na ubezpieczenie zdrowotne i społeczne, lub potwierdzenie, że uzyskał  przewidziane prawem zwolnienie, odroczenie lub rozłożenie na raty zaległych płatności lub wstrzymanie w całości wykonania decyzji właściwego organu  – wystawione nie wcześniej niż 3 miesiące przed upływem terminu składania  ofert.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Opłaconą polisę, a w przypadku jej braku, inny dokument potwierdzający, że wykonawca jest ubezpieczony od odpowiedzialności cywilnej w zakresie prowadzonej działalności </w:t>
      </w:r>
      <w:r>
        <w:rPr>
          <w:color w:val="000000"/>
          <w:sz w:val="22"/>
          <w:szCs w:val="22"/>
          <w:lang w:val="pl-PL"/>
        </w:rPr>
        <w:t>związanej z przedmiotem zamówienia.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Aktualnej informacji z Krajowego Rejestru Karnego w zakresie okre</w:t>
      </w:r>
      <w:r>
        <w:rPr>
          <w:sz w:val="22"/>
          <w:szCs w:val="22"/>
          <w:lang w:val="pl-PL"/>
        </w:rPr>
        <w:t>ślonym w art. 24 ust. 1 pkt 4–8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tabs>
          <w:tab w:val="left" w:pos="284" w:leader="none"/>
        </w:tabs>
        <w:suppressAutoHyphens w:val="false"/>
        <w:ind w:left="340" w:hanging="3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XII. Kryteria oceny ofert i ich znaczenie: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rPr/>
      </w:pPr>
      <w:r>
        <w:rPr>
          <w:b/>
          <w:bCs/>
          <w:sz w:val="22"/>
          <w:szCs w:val="22"/>
          <w:shd w:fill="FFFFFF" w:val="clear"/>
        </w:rPr>
        <w:t>Kryteria oceny ofert:</w:t>
        <w:tab/>
        <w:tab/>
        <w:tab/>
        <w:tab/>
      </w:r>
    </w:p>
    <w:p>
      <w:pPr>
        <w:pStyle w:val="Normal"/>
        <w:numPr>
          <w:ilvl w:val="0"/>
          <w:numId w:val="3"/>
        </w:numPr>
        <w:jc w:val="both"/>
        <w:rPr>
          <w:shd w:fill="FFFF00" w:val="clear"/>
        </w:rPr>
      </w:pPr>
      <w:r>
        <w:rPr>
          <w:bCs/>
          <w:sz w:val="22"/>
          <w:szCs w:val="22"/>
          <w:shd w:fill="FFFFFF" w:val="clear"/>
        </w:rPr>
        <w:t xml:space="preserve">cena – </w:t>
      </w:r>
      <w:r>
        <w:rPr>
          <w:b/>
          <w:bCs/>
          <w:sz w:val="22"/>
          <w:szCs w:val="22"/>
          <w:shd w:fill="FFFFFF" w:val="clear"/>
        </w:rPr>
        <w:t>znaczenie kryterium - 95 %</w:t>
      </w:r>
    </w:p>
    <w:p>
      <w:pPr>
        <w:pStyle w:val="Normal"/>
        <w:numPr>
          <w:ilvl w:val="0"/>
          <w:numId w:val="3"/>
        </w:numPr>
        <w:jc w:val="both"/>
        <w:rPr>
          <w:shd w:fill="FFFF00" w:val="clear"/>
          <w:lang w:val="pl-PL"/>
        </w:rPr>
      </w:pPr>
      <w:r>
        <w:rPr>
          <w:bCs/>
          <w:sz w:val="22"/>
          <w:szCs w:val="22"/>
          <w:shd w:fill="FFFFFF" w:val="clear"/>
          <w:lang w:val="pl-PL"/>
        </w:rPr>
        <w:t xml:space="preserve">okres gwarancji na przedmiot zamówienia – podany w pełnych latach na druku „Oferta” – </w:t>
      </w:r>
      <w:r>
        <w:rPr>
          <w:b/>
          <w:bCs/>
          <w:sz w:val="22"/>
          <w:szCs w:val="22"/>
          <w:shd w:fill="FFFFFF" w:val="clear"/>
          <w:lang w:val="pl-PL"/>
        </w:rPr>
        <w:t>znaczenie kryterium - 5%</w:t>
      </w:r>
    </w:p>
    <w:p>
      <w:pPr>
        <w:pStyle w:val="Normal"/>
        <w:jc w:val="both"/>
        <w:rPr>
          <w:b/>
          <w:b/>
          <w:bCs/>
          <w:shd w:fill="FFFF00" w:val="clear"/>
          <w:lang w:val="pl-PL"/>
        </w:rPr>
      </w:pPr>
      <w:r>
        <w:rPr>
          <w:b/>
          <w:bCs/>
          <w:sz w:val="22"/>
          <w:szCs w:val="22"/>
          <w:shd w:fill="FFFFFF" w:val="clear"/>
          <w:lang w:val="pl-PL"/>
        </w:rPr>
        <w:tab/>
        <w:t xml:space="preserve">W przypadku, gdy Wykonawca wskaże na druku „Oferta” okres gwarancji </w:t>
        <w:br/>
        <w:tab/>
        <w:t xml:space="preserve">w niepełnych latach, Zamawiający zaokrągli wskazany okres gwarancji </w:t>
        <w:br/>
        <w:tab/>
        <w:t>w dół do pełnych lat.</w:t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  <w:shd w:fill="FFFFFF" w:val="clear"/>
          <w:lang w:val="pl-PL"/>
        </w:rPr>
      </w:pPr>
      <w:r>
        <w:rPr>
          <w:b/>
          <w:bCs/>
          <w:sz w:val="22"/>
          <w:szCs w:val="22"/>
          <w:u w:val="single"/>
          <w:shd w:fill="FFFFFF" w:val="clear"/>
          <w:lang w:val="pl-PL"/>
        </w:rPr>
      </w:r>
    </w:p>
    <w:p>
      <w:pPr>
        <w:pStyle w:val="Normal"/>
        <w:jc w:val="both"/>
        <w:rPr>
          <w:shd w:fill="FFFF00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Ocena punktowa kryterium „okres gwarancji” zostanie dokonana w następujący sposób:</w:t>
      </w:r>
    </w:p>
    <w:p>
      <w:pPr>
        <w:pStyle w:val="Normal"/>
        <w:jc w:val="both"/>
        <w:rPr>
          <w:sz w:val="22"/>
          <w:szCs w:val="22"/>
          <w:shd w:fill="FFFFFF" w:val="clear"/>
          <w:lang w:val="pl-PL"/>
        </w:rPr>
      </w:pPr>
      <w:r>
        <w:rPr>
          <w:sz w:val="22"/>
          <w:szCs w:val="22"/>
          <w:shd w:fill="FFFFFF" w:val="clear"/>
          <w:lang w:val="pl-PL"/>
        </w:rPr>
      </w:r>
    </w:p>
    <w:tbl>
      <w:tblPr>
        <w:tblW w:w="5981" w:type="dxa"/>
        <w:jc w:val="left"/>
        <w:tblInd w:w="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val="0000"/>
      </w:tblPr>
      <w:tblGrid>
        <w:gridCol w:w="4083"/>
        <w:gridCol w:w="1897"/>
      </w:tblGrid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77" w:leader="none"/>
                <w:tab w:val="left" w:pos="3119" w:leader="none"/>
              </w:tabs>
              <w:jc w:val="both"/>
              <w:rPr>
                <w:bCs/>
                <w:shd w:fill="FFFF00" w:val="clear"/>
                <w:lang w:val="pl-PL"/>
              </w:rPr>
            </w:pPr>
            <w:r>
              <w:rPr>
                <w:bCs/>
                <w:sz w:val="22"/>
                <w:szCs w:val="22"/>
                <w:shd w:fill="FFFFFF" w:val="clear"/>
                <w:lang w:val="pl-PL"/>
              </w:rPr>
              <w:t>Okres gwarancji na przedmiot umowy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Liczba punktów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1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1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2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2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3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3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4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shd w:fill="FFFF00" w:val="clear"/>
              </w:rPr>
            </w:pPr>
            <w:r>
              <w:rPr>
                <w:sz w:val="22"/>
                <w:szCs w:val="22"/>
                <w:shd w:fill="FFFFFF" w:val="clear"/>
              </w:rPr>
              <w:t>4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rPr>
          <w:u w:val="single"/>
          <w:shd w:fill="FFFF00" w:val="clear"/>
          <w:lang w:val="pl-PL"/>
        </w:rPr>
      </w:pPr>
      <w:r>
        <w:rPr>
          <w:sz w:val="22"/>
          <w:szCs w:val="22"/>
          <w:u w:val="single"/>
          <w:shd w:fill="FFFFFF" w:val="clear"/>
          <w:lang w:val="pl-PL"/>
        </w:rPr>
        <w:t>Oferty oceniane będą wg wzoru:</w:t>
      </w:r>
    </w:p>
    <w:p>
      <w:pPr>
        <w:pStyle w:val="Normal"/>
        <w:keepNext/>
        <w:rPr>
          <w:b/>
          <w:b/>
          <w:spacing w:val="20"/>
          <w:sz w:val="22"/>
          <w:szCs w:val="22"/>
          <w:u w:val="single"/>
          <w:shd w:fill="FFFFFF" w:val="clear"/>
          <w:lang w:val="pl-PL"/>
        </w:rPr>
      </w:pPr>
      <w:r>
        <w:rPr>
          <w:b/>
          <w:spacing w:val="20"/>
          <w:sz w:val="22"/>
          <w:szCs w:val="22"/>
          <w:u w:val="single"/>
          <w:shd w:fill="FFFFFF" w:val="clear"/>
          <w:lang w:val="pl-PL"/>
        </w:rPr>
      </w:r>
    </w:p>
    <w:p>
      <w:pPr>
        <w:pStyle w:val="Normal"/>
        <w:keepNext/>
        <w:rPr>
          <w:shd w:fill="FFFF00" w:val="clear"/>
          <w:lang w:val="pl-PL"/>
        </w:rPr>
      </w:pPr>
      <w:r>
        <w:rPr>
          <w:b/>
          <w:spacing w:val="20"/>
          <w:sz w:val="22"/>
          <w:szCs w:val="22"/>
          <w:shd w:fill="FFFFFF" w:val="clear"/>
          <w:lang w:val="pl-PL"/>
        </w:rPr>
        <w:t>C = ( C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min</w:t>
      </w:r>
      <w:r>
        <w:rPr>
          <w:b/>
          <w:spacing w:val="20"/>
          <w:sz w:val="22"/>
          <w:szCs w:val="22"/>
          <w:shd w:fill="FFFFFF" w:val="clear"/>
          <w:lang w:val="pl-PL"/>
        </w:rPr>
        <w:t>/C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b/>
          <w:spacing w:val="20"/>
          <w:sz w:val="22"/>
          <w:szCs w:val="22"/>
          <w:shd w:fill="FFFFFF" w:val="clear"/>
          <w:lang w:val="pl-PL"/>
        </w:rPr>
        <w:t xml:space="preserve"> ) x 95 + (G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b/>
          <w:spacing w:val="20"/>
          <w:sz w:val="22"/>
          <w:szCs w:val="22"/>
          <w:shd w:fill="FFFFFF" w:val="clear"/>
          <w:lang w:val="pl-PL"/>
        </w:rPr>
        <w:t>/G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max</w:t>
      </w:r>
      <w:r>
        <w:rPr>
          <w:b/>
          <w:spacing w:val="20"/>
          <w:sz w:val="22"/>
          <w:szCs w:val="22"/>
          <w:shd w:fill="FFFFFF" w:val="clear"/>
          <w:lang w:val="pl-PL"/>
        </w:rPr>
        <w:t xml:space="preserve">) x 5 </w:t>
      </w:r>
    </w:p>
    <w:p>
      <w:pPr>
        <w:pStyle w:val="Normal"/>
        <w:rPr>
          <w:b/>
          <w:b/>
          <w:spacing w:val="20"/>
          <w:sz w:val="22"/>
          <w:szCs w:val="22"/>
          <w:shd w:fill="FFFFFF" w:val="clear"/>
          <w:lang w:val="pl-PL"/>
        </w:rPr>
      </w:pPr>
      <w:r>
        <w:rPr>
          <w:b/>
          <w:spacing w:val="20"/>
          <w:sz w:val="22"/>
          <w:szCs w:val="22"/>
          <w:shd w:fill="FFFFFF" w:val="clear"/>
          <w:lang w:val="pl-PL"/>
        </w:rPr>
      </w:r>
    </w:p>
    <w:p>
      <w:pPr>
        <w:pStyle w:val="Normal"/>
        <w:jc w:val="both"/>
        <w:rPr>
          <w:shd w:fill="FFFF00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gdzie: C – wyliczona ilość punktów badanej oferty</w:t>
      </w:r>
    </w:p>
    <w:p>
      <w:pPr>
        <w:pStyle w:val="Normal"/>
        <w:jc w:val="both"/>
        <w:rPr>
          <w:shd w:fill="FFFF00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C</w:t>
      </w:r>
      <w:r>
        <w:rPr>
          <w:sz w:val="22"/>
          <w:szCs w:val="22"/>
          <w:shd w:fill="FFFFFF" w:val="clear"/>
          <w:vertAlign w:val="subscript"/>
          <w:lang w:val="pl-PL"/>
        </w:rPr>
        <w:t>min</w:t>
      </w:r>
      <w:r>
        <w:rPr>
          <w:sz w:val="22"/>
          <w:szCs w:val="22"/>
          <w:shd w:fill="FFFFFF" w:val="clear"/>
          <w:lang w:val="pl-PL"/>
        </w:rPr>
        <w:t xml:space="preserve"> – najniższa cena (brutto) oferty</w:t>
      </w:r>
    </w:p>
    <w:p>
      <w:pPr>
        <w:pStyle w:val="Normal"/>
        <w:jc w:val="both"/>
        <w:rPr>
          <w:shd w:fill="FFFF00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C</w:t>
      </w:r>
      <w:r>
        <w:rPr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sz w:val="22"/>
          <w:szCs w:val="22"/>
          <w:shd w:fill="FFFFFF" w:val="clear"/>
          <w:lang w:val="pl-PL"/>
        </w:rPr>
        <w:t xml:space="preserve"> – cena (brutto) badanej oferty</w:t>
      </w:r>
    </w:p>
    <w:p>
      <w:pPr>
        <w:pStyle w:val="Normal"/>
        <w:jc w:val="both"/>
        <w:rPr>
          <w:shd w:fill="FFFF00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G</w:t>
      </w:r>
      <w:r>
        <w:rPr>
          <w:sz w:val="22"/>
          <w:szCs w:val="22"/>
          <w:shd w:fill="FFFFFF" w:val="clear"/>
          <w:vertAlign w:val="subscript"/>
          <w:lang w:val="pl-PL"/>
        </w:rPr>
        <w:t xml:space="preserve">max </w:t>
      </w:r>
      <w:r>
        <w:rPr>
          <w:sz w:val="22"/>
          <w:szCs w:val="22"/>
          <w:shd w:fill="FFFFFF" w:val="clear"/>
          <w:lang w:val="pl-PL"/>
        </w:rPr>
        <w:t>– najwyższa liczba  punktów uzyskanych w kryterium „okres gwarancji”</w:t>
      </w:r>
    </w:p>
    <w:p>
      <w:pPr>
        <w:pStyle w:val="Normal"/>
        <w:jc w:val="both"/>
        <w:rPr>
          <w:shd w:fill="FFFFFF" w:val="clear"/>
          <w:lang w:val="pl-PL"/>
        </w:rPr>
      </w:pPr>
      <w:r>
        <w:rPr>
          <w:sz w:val="22"/>
          <w:szCs w:val="22"/>
          <w:shd w:fill="FFFFFF" w:val="clear"/>
          <w:lang w:val="pl-PL"/>
        </w:rPr>
        <w:t>G</w:t>
      </w:r>
      <w:r>
        <w:rPr>
          <w:sz w:val="22"/>
          <w:szCs w:val="22"/>
          <w:shd w:fill="FFFFFF" w:val="clear"/>
          <w:vertAlign w:val="subscript"/>
          <w:lang w:val="pl-PL"/>
        </w:rPr>
        <w:t xml:space="preserve">x </w:t>
      </w:r>
      <w:r>
        <w:rPr>
          <w:sz w:val="22"/>
          <w:szCs w:val="22"/>
          <w:shd w:fill="FFFFFF" w:val="clear"/>
          <w:lang w:val="pl-PL"/>
        </w:rPr>
        <w:t>- liczba punktów uzyskanych w kryterium „okres gwarancji” badanej oferty</w:t>
      </w:r>
      <w:r>
        <w:rPr>
          <w:shd w:fill="FFFFFF" w:val="clear"/>
          <w:lang w:val="pl-PL"/>
        </w:rPr>
        <w:t>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/>
      </w:pPr>
      <w:r>
        <w:rPr>
          <w:b/>
          <w:bCs/>
          <w:sz w:val="22"/>
          <w:szCs w:val="22"/>
          <w:u w:val="single"/>
          <w:lang w:val="pl-PL"/>
        </w:rPr>
        <w:t>XIII. Sposób przygotowania oferty: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/>
      </w:pPr>
      <w:r>
        <w:rPr>
          <w:b/>
          <w:color w:val="000000"/>
          <w:sz w:val="22"/>
          <w:szCs w:val="22"/>
        </w:rPr>
        <w:t>Wymagania ogólne: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Każdy Wykonawca może złożyć tylko jedną ofertę.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Oferta musi być złożona w formie pisemnej pod rygorem nieważnoći (art. 82 ust.2 ustawy), zgodnie z wymaganiami opisanymi w niniejszej SIWZ. 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Ofertę należy sporządzić w języku polskim, w sposób czytelny (na komputerze, maszynie lub pismem odręcznym). Wymagane specyfikacją dokumenty sporządzone w języku obcym powinny być złożone wraz z tłumaczeniem na język polski, poświadczonym przez Wykonawcę  lub tłumacza przysięgłego.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Wszelkie ceny w ofercie muszą być podane w PLN.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Wskazane jest, aby wszystkie strony oferty były ponumerowane i parafowane.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  <w:tab w:val="left" w:pos="1868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Wszystkie miejsca, w których Wykonawca naniósł poprawki, muszą być parafowane przez osobę podpisującą ofertę pod rygorem nie uznania poprawki.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</w:tabs>
        <w:ind w:hanging="340"/>
        <w:jc w:val="both"/>
        <w:rPr/>
      </w:pPr>
      <w:r>
        <w:rPr>
          <w:color w:val="000000"/>
          <w:sz w:val="22"/>
          <w:szCs w:val="22"/>
          <w:lang w:val="pl-PL"/>
        </w:rPr>
        <w:t xml:space="preserve">Oferta (wraz z załącznikami i wymaganymi dokumentami) musi być trwale połączona </w:t>
        <w:br/>
        <w:t xml:space="preserve">w sposób uniemożliwiający jej rozkompletowanie (np. </w:t>
      </w:r>
      <w:r>
        <w:rPr>
          <w:color w:val="000000"/>
          <w:sz w:val="22"/>
          <w:szCs w:val="22"/>
        </w:rPr>
        <w:t xml:space="preserve">Zszyta). 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Zastrzeżenie dotyczące informacji stanowiących tajemnicę przedsiębiorstwa w rozumieniu przepisów o zwalczaniu nieuczciwej konkurencji, wykonawca zobowiązany jest  złożyć </w:t>
        <w:br/>
        <w:t>w ofercie w sposób wyraźnie określający wole ich utajnienia, np. złożyć utajnione informacje w oddzielnej wewnętrznej kopercie z oznakowaniem „tajemnica przedsiębiorstwa” lub spiąć (zszyć) oddzielnie od pozostałych, jawnych elementów oferty. Wykonawca jest zobowiązany wykazać, iż zastrzeżone informacje stanowią tajemnicę przedsiębiorstwa.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Wykonawca ponosi wszelkie koszty związane z przygotowaniem i złożeniem oferty.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Nie dopuszcza się możliwości złożenia ofert częściowych.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Nie dopuszcza się możliwości złożenia ofert wariantowych.</w:t>
      </w:r>
    </w:p>
    <w:p>
      <w:pPr>
        <w:pStyle w:val="Normal"/>
        <w:tabs>
          <w:tab w:val="left" w:pos="792" w:leader="none"/>
        </w:tabs>
        <w:ind w:left="360" w:hanging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>Zawartość oferty  sposób i miejsce jej złożenia:</w:t>
      </w:r>
    </w:p>
    <w:p>
      <w:pPr>
        <w:pStyle w:val="Normal"/>
        <w:ind w:firstLine="357"/>
        <w:jc w:val="both"/>
        <w:textAlignment w:val="baseline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Oferta powinna składać się z :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formularza ofertowego – sporządzonego zgodnie z załącznikiem nr 1 do niniejszej SIWZ,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oryginału pełnomocnictwa udzielanego osobom podpisującym ofertę, o ile prawo do reprezentowania Wykonawcy w powyższym zakresie nie wynika wprost z dokumentu rejestrowego.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oświadczeń i dokumentów, o których mowa w rozdziale VII niniejszej specyfikacji.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Wykonawca powinien umieścić ofertę wraz z wymaganymi dokumentami  w nieprzejrzystym, zamkniętym opakowaniu zaadresowanym na adres Zamawiającego i zawierającym oznaczenie</w:t>
      </w:r>
      <w:r>
        <w:rPr>
          <w:i/>
          <w:color w:val="000000"/>
          <w:sz w:val="22"/>
          <w:szCs w:val="22"/>
          <w:lang w:val="pl-PL"/>
        </w:rPr>
        <w:t>:</w:t>
        <w:br/>
        <w:t>"</w:t>
      </w:r>
      <w:r>
        <w:rPr>
          <w:b/>
          <w:color w:val="000000"/>
          <w:sz w:val="22"/>
          <w:szCs w:val="22"/>
          <w:lang w:val="pl-PL"/>
        </w:rPr>
        <w:t>Oferta na</w:t>
      </w:r>
      <w:r>
        <w:rPr>
          <w:b/>
          <w:i/>
          <w:color w:val="000000"/>
          <w:sz w:val="22"/>
          <w:szCs w:val="22"/>
          <w:lang w:val="pl-PL"/>
        </w:rPr>
        <w:t xml:space="preserve">: </w:t>
      </w:r>
      <w:r>
        <w:rPr>
          <w:b/>
          <w:i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sz w:val="22"/>
          <w:szCs w:val="22"/>
          <w:lang w:val="pl-PL"/>
        </w:rPr>
        <w:t>przebudowa poddasza nieużytkowego na cele dydaktyczne, rewalidacyjne i rehabilitacyjne w Specjalnym Ośrodku Szkolno-Wychowawczym im. J. Korczaka w Mławie z podziałem na dwa etapy - Postępowanie oznaczone nr SOSW.ZP.271.2.2015”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  <w:lang w:val="pl-PL"/>
        </w:rPr>
        <w:t xml:space="preserve">Adres Zamawiającego: </w:t>
      </w:r>
      <w:r>
        <w:rPr>
          <w:color w:val="000000"/>
          <w:sz w:val="22"/>
          <w:szCs w:val="22"/>
          <w:lang w:val="pl-PL"/>
        </w:rPr>
        <w:t xml:space="preserve">Specjalny Ośrodek Szkolno-Wychowawczy im. J. Korczaka w Mławie, 06-500 Mława, </w:t>
        <w:br/>
        <w:t xml:space="preserve">ul. </w:t>
      </w:r>
      <w:r>
        <w:rPr>
          <w:color w:val="000000"/>
          <w:sz w:val="22"/>
          <w:szCs w:val="22"/>
        </w:rPr>
        <w:t xml:space="preserve">Słowackiego 16, Sekretariat  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  <w:shd w:fill="FFFFFF" w:val="clear"/>
        </w:rPr>
        <w:t xml:space="preserve"> </w:t>
      </w:r>
      <w:r>
        <w:rPr>
          <w:b/>
          <w:color w:val="000000"/>
          <w:sz w:val="22"/>
          <w:szCs w:val="22"/>
          <w:shd w:fill="FFFFFF" w:val="clear"/>
          <w:lang w:val="pl-PL"/>
        </w:rPr>
        <w:t xml:space="preserve">Nie otwierać przed 15.06.2015 r,  godz. </w:t>
      </w:r>
      <w:r>
        <w:rPr>
          <w:b/>
          <w:color w:val="000000"/>
          <w:sz w:val="22"/>
          <w:szCs w:val="22"/>
          <w:shd w:fill="FFFFFF" w:val="clear"/>
        </w:rPr>
        <w:t>10.00.</w:t>
      </w:r>
    </w:p>
    <w:p>
      <w:pPr>
        <w:pStyle w:val="Normal"/>
        <w:ind w:left="360" w:hanging="36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Tajemnica przedsiębiorstwa</w:t>
      </w:r>
    </w:p>
    <w:p>
      <w:pPr>
        <w:pStyle w:val="Normal"/>
        <w:tabs>
          <w:tab w:val="left" w:pos="450" w:leader="none"/>
        </w:tabs>
        <w:jc w:val="both"/>
        <w:textAlignment w:val="baseline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a) Jeżeli Wykonawca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</w:p>
    <w:p>
      <w:pPr>
        <w:pStyle w:val="Normal"/>
        <w:jc w:val="both"/>
        <w:textAlignment w:val="baseline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>b) Informacje stanowiące tajemnicę przedsiębiorstwa</w:t>
      </w:r>
      <w:r>
        <w:rPr>
          <w:color w:val="000000"/>
          <w:sz w:val="22"/>
          <w:szCs w:val="22"/>
          <w:lang w:val="pl-PL"/>
        </w:rPr>
        <w:t>. Informację o zastrzeżeniu dokumentów stanowiących tajemnicę przedsiębiorstwa należy podać również w formularzu oferty.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Zmiana lub wycofanie oferty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Wykonawca może wprowadzić zmiany w złożonej ofercie lub ją wycofać,  pod warunkiem że uczyni to przed terminem składania ofert. Zarówno zmiana, jak  i wycofanie oferty wymagają formy pisemnej. Zmiany dotyczące treści oferty powinny być przygotowane, opakowane </w:t>
        <w:br/>
        <w:t xml:space="preserve">i zaadresowane w ten sam sposób jak oferta. Dodatkowo opakowanie, w którym jest przekazywana zmieniona oferta, należy opatrzyć napisem </w:t>
      </w:r>
      <w:r>
        <w:rPr>
          <w:b/>
          <w:color w:val="000000"/>
          <w:sz w:val="22"/>
          <w:szCs w:val="22"/>
          <w:lang w:val="pl-PL"/>
        </w:rPr>
        <w:t>ZMIANA.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984" w:leader="none"/>
        </w:tabs>
        <w:ind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>
        <w:rPr>
          <w:b/>
          <w:bCs/>
          <w:color w:val="000000"/>
          <w:sz w:val="22"/>
          <w:szCs w:val="22"/>
          <w:lang w:val="pl-PL"/>
        </w:rPr>
        <w:t>WYCOFANE</w:t>
      </w:r>
      <w:r>
        <w:rPr>
          <w:color w:val="000000"/>
          <w:sz w:val="22"/>
          <w:szCs w:val="22"/>
          <w:lang w:val="pl-PL"/>
        </w:rPr>
        <w:t>.</w:t>
      </w:r>
    </w:p>
    <w:p>
      <w:pPr>
        <w:pStyle w:val="Default"/>
        <w:rPr>
          <w:b/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XIV. Miejsce i termin składania ofert: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a) Ofertę należy złożyć w siedzibie Zamawiającego pod adresem: </w:t>
      </w:r>
      <w:r>
        <w:rPr>
          <w:rFonts w:cs="Times New Roman"/>
          <w:b/>
          <w:bCs/>
          <w:sz w:val="22"/>
          <w:szCs w:val="22"/>
          <w:lang w:val="pl-PL"/>
        </w:rPr>
        <w:t xml:space="preserve">Specjalny Ośrodek Szkolno - Wychowawczy </w:t>
        <w:br/>
        <w:t xml:space="preserve">w Mławie, </w:t>
      </w:r>
      <w:r>
        <w:rPr>
          <w:b/>
          <w:bCs/>
          <w:color w:val="000000"/>
          <w:sz w:val="22"/>
          <w:szCs w:val="22"/>
          <w:lang w:val="pl-PL"/>
        </w:rPr>
        <w:t>06-500 Mława, ul. Słowacki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 xml:space="preserve">ego 16 do  dnia  </w:t>
      </w:r>
      <w:r>
        <w:rPr>
          <w:b/>
          <w:bCs/>
          <w:color w:val="000000"/>
          <w:sz w:val="22"/>
          <w:szCs w:val="22"/>
          <w:u w:val="single"/>
          <w:shd w:fill="FFFFFF" w:val="clear"/>
          <w:lang w:val="pl-PL"/>
        </w:rPr>
        <w:t xml:space="preserve">15-06-2015 roku do godziny 10.00 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>(czasu lokalnego)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>b) Oferta otrzymana przez Zamawiającego po terminie składania ofert zostanie zwrócona Wykonawcy bez otwierania po upływie terminu przewidzianego na wniesienie odwołania.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c) Otwarcie ofert jest jawne.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d) Bezpośrednio przed otwarciem ofert Zamawiający poda kwotę, jaką zamierza przeznaczyć na sfinansowanie zamówienia, która będzie realnie obciążała budżet Zamawiającego z tytułu realizacji zamówienia.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>e) Podczas otwarcia ofert podane zostaną nazwy oraz adresy Wykonawców, a także informacje dotyczące ceny zawartych w ofertach. Informacje te zostaną przekazane Wykonawcom, którzy byli nieobecni przy otwarciu ofert na ich pisemny wniosek.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XV. Termin związania ofertą: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Wykonawca pozostaje związany ofertą przez okres </w:t>
      </w:r>
      <w:r>
        <w:rPr>
          <w:b/>
          <w:color w:val="000000"/>
          <w:sz w:val="22"/>
          <w:szCs w:val="22"/>
          <w:lang w:val="pl-PL"/>
        </w:rPr>
        <w:t>30</w:t>
      </w:r>
      <w:r>
        <w:rPr>
          <w:color w:val="000000"/>
          <w:sz w:val="22"/>
          <w:szCs w:val="22"/>
          <w:lang w:val="pl-PL"/>
        </w:rPr>
        <w:t xml:space="preserve"> dni. Bieg terminu rozpoczyna się </w:t>
        <w:br/>
        <w:t>wraz z upływem terminu składania ofert.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 xml:space="preserve">XVI. Informacje o formalnościach, jakie powinny zostać dopełnione po wyborze oferty  celu zawarcia umowy </w:t>
        <w:br/>
        <w:t>w sprawie zamówienia publicznego: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 xml:space="preserve">1. </w:t>
      </w:r>
      <w:r>
        <w:rPr>
          <w:color w:val="000000"/>
          <w:sz w:val="22"/>
          <w:szCs w:val="22"/>
          <w:lang w:val="pl-PL"/>
        </w:rPr>
        <w:t xml:space="preserve">Niezwłocznie po wyborze najkorzystniejszej oferty Zamawiający zawiadamia wykonawców, którzy złożyli oferty, </w:t>
        <w:br/>
        <w:t xml:space="preserve">o wyborze najkorzystniejszej oferty, podając nazwę (firmę) albo imię i nazwisko, siedzibę albo adres zamieszkania </w:t>
        <w:br/>
        <w:t>i adres wykonawcy, którego ofertę wybrano, uzasadnienie jej wyboru oraz nazwy (firmy) albo imiona i nazwiska, siedziby albo miejsca zamieszkania i adresy wykonawców, którzy złożyli oferty, a także punktację przyznaną ofertom w kryterium oceny oferty i punktację.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2. Z Wykonawcą, którego oferta została uznana za najkorzystniejszą, zostanie zawarta umowa wg warunków podanych w projekcie umowy załączonej do niniejszej Specyfikacji i stanowiącej jej integralną część oraz oferty przedstawionej przez Wykonawcę.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3. W zawiadomieniu o wyborze najkorzystniejszej oferty Zamawiający poinformuje Wykonawcę o terminie i miejscu podpisania umowy.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4. Zamawiający wezwie Wykonawcę do podpisania umowy. Nie podpisanie umowy przez Wykonawcę </w:t>
        <w:br/>
        <w:t>w wyznaczonym terminie będzie uznane przez Zamawiającego za uchylanie się od zawarcia umowy.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5. Jeżeli dokumenty, o których mowa dalej w trakcie prowadzenia postępowania utraciły</w:t>
      </w:r>
      <w:r>
        <w:rPr>
          <w:sz w:val="22"/>
          <w:szCs w:val="22"/>
          <w:lang w:val="pl-PL"/>
        </w:rPr>
        <w:t xml:space="preserve"> swą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ważność, przed zawarciem umowy, Wykonawca przedstawi aktualny odpis z właściwego rejestru a wykonawca będący osobą fizyczną prowadzącą działalność gospodarczą, aktualne zaświadczenie o wpisie do ewidencji działalności gospodarczej (w przypadku, gdy ofertę składa kilka podmiotów działających wspólnie, dotyczy to każdego z nich).  Zamawiający przyjmie jako aktualne dokumenty, o których mowa w niniejszym punkcie, jeżeli ich data wydania lub potwierdzenia za zgodność ze stanem faktycznym przez wydającego dany dokument nie będzie wcześniejsza niż 6 miesięcy przed datą składania ofert.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6. Zamawiający zawiera umowę w sprawie zamówienia publicznego zgodnie z art. 94 ustawy Prawo zamówień  publicznych.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7. W przypadku udzielenia zamówienia wykonawcom składającym wspólną ofertę, Zamawiający przed podpisaniem umowy zażąda złożenia umowy regulującej współpracę tych wykonawców.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8. Zamawiający zastrzega, iż przed zawarciem umowy zażąda okazania dokumentów potwierdzających posiadanie przez osoby uczestniczące w wykonywaniu zamówienia kwalifikacji niezbędnych do jego wykonania. Odmowa okazania powyższych dokumentów lub brak wymaganych dokumentów będzie traktowane jako uchylanie się od zawarcia umowy.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XVII. Informację o zamiarze zawarcia umowy ramowej: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zawierania umowy ramowej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XVIII. Informację o zamiarze ustanowienia dynamicznego systemu zakupów wraz z adresem strony internetowej, na której będą zamieszczone dodatkowe informacje dotyczące dynamicznego systemu zakupów: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dokonywania dynamicznego systemu zakupów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XIX. Informację o przewidywanym wyborze najkorzystniejszej oferty z zastosowaniem aukcji elektronicznej wraz z adresem strony internetowej, na której będzie prowadzona aukcja elektroniczna: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ofert w formie aukcji elektronicznej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XX. Informację o przewidywanych zamówieniach uzupełniających, o których mowa w art. 67 ust. 1 pkt 6 i 7 lub art. 134 ust. 6 pkt 3 i 4, jeżeli zamawiający przewiduje udzielenie takich zamówień: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XXI. Informacje o sposobie porozumiewania się zamawiającego z wykonawcami </w:t>
        <w:br/>
        <w:t>oraz przekazywania oświadczeń lub dokumentów a także wskazanie osób uprawnionych do porozumiewania się z wykonawcami:</w:t>
      </w:r>
    </w:p>
    <w:p>
      <w:pPr>
        <w:pStyle w:val="Normal"/>
        <w:ind w:left="540" w:hanging="5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1. Osobami uprawnionymi przez Zamawiającego do kontaktu są: </w:t>
      </w:r>
    </w:p>
    <w:p>
      <w:pPr>
        <w:pStyle w:val="Normal"/>
        <w:tabs>
          <w:tab w:val="left" w:pos="3010" w:leader="none"/>
        </w:tabs>
        <w:suppressAutoHyphens w:val="false"/>
        <w:jc w:val="both"/>
        <w:rPr>
          <w:lang w:val="pl-PL"/>
        </w:rPr>
      </w:pPr>
      <w:r>
        <w:rPr>
          <w:sz w:val="22"/>
          <w:szCs w:val="22"/>
          <w:lang w:val="pl-PL"/>
        </w:rPr>
        <w:t>Kamila Magierska tel. 23 654 34 11,</w:t>
      </w:r>
    </w:p>
    <w:p>
      <w:pPr>
        <w:pStyle w:val="Normal"/>
        <w:tabs>
          <w:tab w:val="left" w:pos="3010" w:leader="none"/>
        </w:tabs>
        <w:suppressAutoHyphens w:val="false"/>
        <w:rPr>
          <w:lang w:val="pl-PL"/>
        </w:rPr>
      </w:pPr>
      <w:r>
        <w:rPr>
          <w:sz w:val="22"/>
          <w:szCs w:val="22"/>
          <w:lang w:val="pl-PL"/>
        </w:rPr>
        <w:t>e-mail: osw_mlawa@op.pl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2. Każdy Wykonawca ponosi ryzyko związane z ewentualną wadliwością informacji uzyskanych od osób trzecich, nie wymienionych w pkt. 1.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3. Wszystkie informacje dotyczące postępowania o zamówienie publiczne będą przekazywane Wykonawcom przez Zamawiającego drogą faksową, a następnie niezwłocznie zostaną przesłane pocztą. Każda informacja opatrzona będzie numerem postępowania nadanym przez Zamawiającego, zawartym w oznaczeniu postępowania na str. 2 niniejszej SIWZ. Taki sam sposób porozumiewania się z Zamawiającym obowiązuje Wykonawcę.</w:t>
      </w:r>
    </w:p>
    <w:p>
      <w:pPr>
        <w:pStyle w:val="Tekstpodstawowywcity31"/>
        <w:spacing w:before="0" w:after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XXII. Istotne dla stron postanowienia, które zostaną wprowadzone do treście zawieranej umowy:</w:t>
      </w:r>
    </w:p>
    <w:p>
      <w:pPr>
        <w:pStyle w:val="Normal"/>
        <w:numPr>
          <w:ilvl w:val="0"/>
          <w:numId w:val="4"/>
        </w:numPr>
        <w:ind w:left="426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Zmiana treści umowy może nastąpić wyłącznie w granicach unormowania  art. 144 ust. 1 ustawy z dnia 29 stycznia 2004 r. Prawo zamówień publicznych i pod rygorem nieważności wymaga formy pisemnego  aneksu skutecznego po podpisaniu przez obie  Strony.</w:t>
      </w:r>
    </w:p>
    <w:p>
      <w:pPr>
        <w:pStyle w:val="Normal"/>
        <w:numPr>
          <w:ilvl w:val="0"/>
          <w:numId w:val="4"/>
        </w:numPr>
        <w:ind w:left="426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Zmiana umowy, o której mowa wyżej, może nastąpić w przypadkach:</w:t>
      </w:r>
    </w:p>
    <w:p>
      <w:pPr>
        <w:pStyle w:val="Normal"/>
        <w:spacing w:before="100" w:after="100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- konieczności przesunięcia terminów umownych, jeśli konieczność ta nastąpiła na skutek okoliczności, których nie można było przewidzieć w chwili zawierania umowy i nie wynika z winy Wykonawcy,</w:t>
      </w:r>
    </w:p>
    <w:p>
      <w:pPr>
        <w:pStyle w:val="Normal"/>
        <w:ind w:left="357" w:hanging="357"/>
        <w:jc w:val="both"/>
        <w:rPr>
          <w:lang w:val="pl-PL"/>
        </w:rPr>
      </w:pPr>
      <w:r>
        <w:rPr>
          <w:sz w:val="22"/>
          <w:szCs w:val="22"/>
          <w:lang w:val="pl-PL"/>
        </w:rPr>
        <w:t>- konieczności przesunięcia terminów umownych, jeśli konieczność ta nastąpiła na skutek okoliczności leżących po stronie Zamawiającego,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sz w:val="22"/>
          <w:szCs w:val="22"/>
          <w:lang w:val="pl-PL"/>
        </w:rPr>
        <w:t>- zmiany powszechnie obowiązujących przepisów prawa, lub umowy o dofinansowanie zawartej przez Zamawiającego, w zakresie mającym wpływ na realizację  umowy.</w:t>
      </w:r>
    </w:p>
    <w:p>
      <w:pPr>
        <w:pStyle w:val="Normal"/>
        <w:numPr>
          <w:ilvl w:val="0"/>
          <w:numId w:val="4"/>
        </w:numPr>
        <w:spacing w:before="100" w:after="100"/>
        <w:ind w:left="426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Przesunięcia terminów poszczególnych zajęć zawartych w harmonogramie, nie wymagają aneksu do umowy, </w:t>
        <w:br/>
        <w:t>a jedynie pisemnej notyfikacji stron.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XXIII. Pouczenie o środkach ochrony prawnej przysługujących wykonawcom w toku postępowania o udzielenie zamówienia publicznego: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1.  Środki ochrony prawnej przysługują Wykonawcy, uczestnikowi konkursu, a także innemu podmiotowi, jeżeli ma lub miał interes w uzyskaniu danego zamówienia oraz poniósł  lub może ponieść szkodę w wyniku naruszenia przez Zamawiającego przepisów niniejszej ustawy zgodnie z działem VI ustawy.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2.  Środki ochrony prawnej wobec ogłoszenia o zamówieniu oraz specyfikacji istotnych warunków zamówienia przysługują również organizacjom wpisanym na listę, o której mowa w art. 154 pkt. 5 pzp.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XXIV. ZAŁĄCZNIKI DO SPECYFIKACJI: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1</w:t>
      </w:r>
      <w:r>
        <w:rPr>
          <w:color w:val="000000"/>
          <w:sz w:val="22"/>
          <w:szCs w:val="22"/>
          <w:lang w:val="pl-PL"/>
        </w:rPr>
        <w:t xml:space="preserve"> Formularz ofertowy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2</w:t>
      </w:r>
      <w:r>
        <w:rPr>
          <w:color w:val="000000"/>
          <w:sz w:val="22"/>
          <w:szCs w:val="22"/>
          <w:lang w:val="pl-PL"/>
        </w:rPr>
        <w:t xml:space="preserve"> Oświadczenia o spełnieniu warunku udziału w postępowaniu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3</w:t>
      </w:r>
      <w:r>
        <w:rPr>
          <w:color w:val="000000"/>
          <w:sz w:val="22"/>
          <w:szCs w:val="22"/>
          <w:lang w:val="pl-PL"/>
        </w:rPr>
        <w:t xml:space="preserve"> Oświadczenie o niepodleganiu wykluczeniu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4 </w:t>
      </w:r>
      <w:r>
        <w:rPr>
          <w:color w:val="000000"/>
          <w:sz w:val="22"/>
          <w:szCs w:val="22"/>
          <w:lang w:val="pl-PL"/>
        </w:rPr>
        <w:t>Wykaz, jakie części zamówienia Wykonawca zamierza powierzyć podwykonawcom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5</w:t>
      </w:r>
      <w:r>
        <w:rPr>
          <w:color w:val="000000"/>
          <w:sz w:val="22"/>
          <w:szCs w:val="22"/>
          <w:lang w:val="pl-PL"/>
        </w:rPr>
        <w:t xml:space="preserve"> Listę podmiotów należących do tej samej grupy kapitałowej zgodnie z art. 26 ust 2d ustawy Pzp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6</w:t>
      </w:r>
      <w:r>
        <w:rPr>
          <w:color w:val="000000"/>
          <w:sz w:val="22"/>
          <w:szCs w:val="22"/>
          <w:lang w:val="pl-PL"/>
        </w:rPr>
        <w:t xml:space="preserve"> Wykaz wykonanych robot budowlanych</w:t>
      </w:r>
    </w:p>
    <w:p>
      <w:pPr>
        <w:pStyle w:val="Normal"/>
        <w:jc w:val="both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7</w:t>
      </w:r>
      <w:r>
        <w:rPr>
          <w:color w:val="000000"/>
          <w:sz w:val="22"/>
          <w:szCs w:val="22"/>
          <w:lang w:val="pl-PL"/>
        </w:rPr>
        <w:t xml:space="preserve">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>
      <w:pPr>
        <w:pStyle w:val="Normal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8</w:t>
      </w:r>
      <w:r>
        <w:rPr>
          <w:color w:val="000000"/>
          <w:sz w:val="22"/>
          <w:szCs w:val="22"/>
          <w:lang w:val="pl-PL"/>
        </w:rPr>
        <w:t xml:space="preserve"> Projekt umowy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</w:t>
      </w:r>
      <w:bookmarkStart w:id="4" w:name="__DdeLink__2721_1299328960"/>
      <w:r>
        <w:rPr>
          <w:b/>
          <w:bCs/>
          <w:sz w:val="22"/>
          <w:szCs w:val="22"/>
          <w:lang w:val="pl-PL"/>
        </w:rPr>
        <w:t>ałącznik nr 9</w:t>
      </w:r>
      <w:r>
        <w:rPr>
          <w:sz w:val="22"/>
          <w:szCs w:val="22"/>
          <w:lang w:val="pl-PL"/>
        </w:rPr>
        <w:t xml:space="preserve"> Projekt robót budowlanych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Załącznik nr 10</w:t>
      </w:r>
      <w:r>
        <w:rPr>
          <w:sz w:val="22"/>
          <w:szCs w:val="22"/>
          <w:lang w:val="pl-PL"/>
        </w:rPr>
        <w:t xml:space="preserve"> Specyfikacja techniczna robót budowlanych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Załącznik nr 11</w:t>
      </w:r>
      <w:r>
        <w:rPr>
          <w:sz w:val="22"/>
          <w:szCs w:val="22"/>
          <w:lang w:val="pl-PL"/>
        </w:rPr>
        <w:t xml:space="preserve"> Projekt branża instalacyjno-sanitarna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Załącznik nr 12</w:t>
      </w:r>
      <w:r>
        <w:rPr>
          <w:sz w:val="22"/>
          <w:szCs w:val="22"/>
          <w:lang w:val="pl-PL"/>
        </w:rPr>
        <w:t xml:space="preserve"> Specyfikacja techniczna - branża instalacyjno-sanitarna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Załącznik nr 13</w:t>
      </w:r>
      <w:r>
        <w:rPr>
          <w:sz w:val="22"/>
          <w:szCs w:val="22"/>
          <w:lang w:val="pl-PL"/>
        </w:rPr>
        <w:t xml:space="preserve"> Projekt instalacji elektrycznej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Załącznik nr 14</w:t>
      </w:r>
      <w:r>
        <w:rPr>
          <w:sz w:val="22"/>
          <w:szCs w:val="22"/>
          <w:lang w:val="pl-PL"/>
        </w:rPr>
        <w:t xml:space="preserve"> Specyfikacja techniczna – instalacja elektryczna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15 </w:t>
      </w:r>
      <w:r>
        <w:rPr>
          <w:sz w:val="22"/>
          <w:szCs w:val="22"/>
          <w:lang w:val="pl-PL"/>
        </w:rPr>
        <w:t>Rzut dachu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16 </w:t>
      </w:r>
      <w:r>
        <w:rPr>
          <w:sz w:val="22"/>
          <w:szCs w:val="22"/>
          <w:lang w:val="pl-PL"/>
        </w:rPr>
        <w:t>Rzut parteru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17 </w:t>
      </w:r>
      <w:r>
        <w:rPr>
          <w:sz w:val="22"/>
          <w:szCs w:val="22"/>
          <w:lang w:val="pl-PL"/>
        </w:rPr>
        <w:t>Rzut piętra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18 </w:t>
      </w:r>
      <w:r>
        <w:rPr>
          <w:sz w:val="22"/>
          <w:szCs w:val="22"/>
          <w:lang w:val="pl-PL"/>
        </w:rPr>
        <w:t>Rzut piwnic.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19 </w:t>
      </w:r>
      <w:r>
        <w:rPr>
          <w:sz w:val="22"/>
          <w:szCs w:val="22"/>
          <w:lang w:val="pl-PL"/>
        </w:rPr>
        <w:t>Rzut poddasza.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20</w:t>
      </w:r>
      <w:r>
        <w:rPr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Kosztorys nakładczy instalacje branża instalacyjno-sanitarna.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21</w:t>
      </w:r>
      <w:r>
        <w:rPr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Kosztorys nakładczy instalacji elektrycznej.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  <w:lang w:val="pl-PL"/>
        </w:rPr>
        <w:t>Załącznik nr 22</w:t>
      </w:r>
      <w:r>
        <w:rPr>
          <w:sz w:val="22"/>
          <w:szCs w:val="22"/>
          <w:lang w:val="pl-PL"/>
        </w:rPr>
        <w:t xml:space="preserve"> Kosz</w:t>
      </w:r>
      <w:r>
        <w:rPr>
          <w:bCs/>
          <w:sz w:val="22"/>
          <w:szCs w:val="22"/>
          <w:lang w:val="pl-PL"/>
        </w:rPr>
        <w:t>torys nakładczy robót budowlanych</w:t>
      </w:r>
      <w:bookmarkEnd w:id="4"/>
      <w:r>
        <w:rPr>
          <w:bCs/>
          <w:sz w:val="18"/>
          <w:szCs w:val="18"/>
          <w:lang w:val="pl-PL"/>
        </w:rPr>
        <w:t>.</w:t>
      </w:r>
    </w:p>
    <w:sectPr>
      <w:headerReference w:type="default" r:id="rId8"/>
      <w:footerReference w:type="default" r:id="rId9"/>
      <w:type w:val="nextPage"/>
      <w:pgSz w:w="11906" w:h="16838"/>
      <w:pgMar w:left="675" w:right="635" w:header="575" w:top="1032" w:footer="505" w:bottom="107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  <w:lang w:val="pl-PL"/>
      </w:rPr>
    </w:pPr>
    <w:bookmarkStart w:id="5" w:name="__DdeLink__16386_1763930795"/>
    <w:bookmarkEnd w:id="5"/>
    <w:r>
      <w:rPr>
        <w:color w:val="000000"/>
        <w:sz w:val="16"/>
        <w:szCs w:val="16"/>
        <w:lang w:val="pl-PL"/>
      </w:rPr>
      <w:t>Zamówienie publiczne nr SOSW.ZP.271.2.2015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28"/>
        </w:tabs>
        <w:ind w:left="708" w:hanging="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>
        <w:sz w:val="22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651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1">
    <w:name w:val="Nagłówek 1"/>
    <w:basedOn w:val="Normal"/>
    <w:rsid w:val="005d1651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rsid w:val="005d1651"/>
    <w:pPr>
      <w:keepNext/>
      <w:jc w:val="both"/>
      <w:outlineLvl w:val="1"/>
    </w:pPr>
    <w:rPr>
      <w:szCs w:val="20"/>
    </w:rPr>
  </w:style>
  <w:style w:type="paragraph" w:styleId="Nagwek4">
    <w:name w:val="Nagłówek 4"/>
    <w:basedOn w:val="Normal"/>
    <w:rsid w:val="005d1651"/>
    <w:pPr>
      <w:keepNext/>
      <w:spacing w:lineRule="auto" w:line="360"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5d1651"/>
    <w:rPr>
      <w:color w:val="000080"/>
      <w:u w:val="single"/>
    </w:rPr>
  </w:style>
  <w:style w:type="character" w:styleId="WW8Num33z0" w:customStyle="1">
    <w:name w:val="WW8Num33z0"/>
    <w:qFormat/>
    <w:rsid w:val="005d1651"/>
    <w:rPr>
      <w:rFonts w:eastAsia="SimSun;宋体"/>
      <w:b/>
      <w:sz w:val="24"/>
    </w:rPr>
  </w:style>
  <w:style w:type="character" w:styleId="WW8Num33z2" w:customStyle="1">
    <w:name w:val="WW8Num33z2"/>
    <w:qFormat/>
    <w:rsid w:val="005d1651"/>
    <w:rPr>
      <w:b w:val="false"/>
      <w:i w:val="false"/>
    </w:rPr>
  </w:style>
  <w:style w:type="character" w:styleId="WW8Num33z3" w:customStyle="1">
    <w:name w:val="WW8Num33z3"/>
    <w:qFormat/>
    <w:rsid w:val="005d1651"/>
    <w:rPr/>
  </w:style>
  <w:style w:type="character" w:styleId="WW8Num23z0" w:customStyle="1">
    <w:name w:val="WW8Num23z0"/>
    <w:qFormat/>
    <w:rsid w:val="005d1651"/>
    <w:rPr>
      <w:i/>
      <w:sz w:val="24"/>
    </w:rPr>
  </w:style>
  <w:style w:type="character" w:styleId="WW8Num23z1" w:customStyle="1">
    <w:name w:val="WW8Num23z1"/>
    <w:qFormat/>
    <w:rsid w:val="005d1651"/>
    <w:rPr>
      <w:rFonts w:ascii="Times New Roman" w:hAnsi="Times New Roman" w:cs="Times New Roman"/>
    </w:rPr>
  </w:style>
  <w:style w:type="character" w:styleId="WW8Num23z2" w:customStyle="1">
    <w:name w:val="WW8Num23z2"/>
    <w:qFormat/>
    <w:rsid w:val="005d1651"/>
    <w:rPr>
      <w:rFonts w:ascii="Wingdings" w:hAnsi="Wingdings" w:cs="Wingdings"/>
    </w:rPr>
  </w:style>
  <w:style w:type="character" w:styleId="WW8Num23z3" w:customStyle="1">
    <w:name w:val="WW8Num23z3"/>
    <w:qFormat/>
    <w:rsid w:val="005d1651"/>
    <w:rPr>
      <w:rFonts w:ascii="Symbol" w:hAnsi="Symbol" w:cs="Symbol"/>
    </w:rPr>
  </w:style>
  <w:style w:type="character" w:styleId="WW8Num23z4" w:customStyle="1">
    <w:name w:val="WW8Num23z4"/>
    <w:qFormat/>
    <w:rsid w:val="005d1651"/>
    <w:rPr>
      <w:rFonts w:ascii="Courier New" w:hAnsi="Courier New" w:cs="Courier New"/>
    </w:rPr>
  </w:style>
  <w:style w:type="character" w:styleId="WW8Num24z0" w:customStyle="1">
    <w:name w:val="WW8Num24z0"/>
    <w:qFormat/>
    <w:rsid w:val="005d1651"/>
    <w:rPr/>
  </w:style>
  <w:style w:type="character" w:styleId="WW8Num24z1" w:customStyle="1">
    <w:name w:val="WW8Num24z1"/>
    <w:qFormat/>
    <w:rsid w:val="005d1651"/>
    <w:rPr/>
  </w:style>
  <w:style w:type="character" w:styleId="WW8Num24z2" w:customStyle="1">
    <w:name w:val="WW8Num24z2"/>
    <w:qFormat/>
    <w:rsid w:val="005d1651"/>
    <w:rPr/>
  </w:style>
  <w:style w:type="character" w:styleId="WW8Num24z3" w:customStyle="1">
    <w:name w:val="WW8Num24z3"/>
    <w:qFormat/>
    <w:rsid w:val="005d1651"/>
    <w:rPr/>
  </w:style>
  <w:style w:type="character" w:styleId="WW8Num24z4" w:customStyle="1">
    <w:name w:val="WW8Num24z4"/>
    <w:qFormat/>
    <w:rsid w:val="005d1651"/>
    <w:rPr/>
  </w:style>
  <w:style w:type="character" w:styleId="WW8Num24z5" w:customStyle="1">
    <w:name w:val="WW8Num24z5"/>
    <w:qFormat/>
    <w:rsid w:val="005d1651"/>
    <w:rPr/>
  </w:style>
  <w:style w:type="character" w:styleId="WW8Num24z6" w:customStyle="1">
    <w:name w:val="WW8Num24z6"/>
    <w:qFormat/>
    <w:rsid w:val="005d1651"/>
    <w:rPr/>
  </w:style>
  <w:style w:type="character" w:styleId="WW8Num24z7" w:customStyle="1">
    <w:name w:val="WW8Num24z7"/>
    <w:qFormat/>
    <w:rsid w:val="005d1651"/>
    <w:rPr/>
  </w:style>
  <w:style w:type="character" w:styleId="WW8Num24z8" w:customStyle="1">
    <w:name w:val="WW8Num24z8"/>
    <w:qFormat/>
    <w:rsid w:val="005d1651"/>
    <w:rPr/>
  </w:style>
  <w:style w:type="character" w:styleId="WW8Num39z0" w:customStyle="1">
    <w:name w:val="WW8Num39z0"/>
    <w:qFormat/>
    <w:rsid w:val="005d1651"/>
    <w:rPr>
      <w:b/>
      <w:bCs w:val="false"/>
      <w:sz w:val="24"/>
    </w:rPr>
  </w:style>
  <w:style w:type="character" w:styleId="WW8Num39z2" w:customStyle="1">
    <w:name w:val="WW8Num39z2"/>
    <w:qFormat/>
    <w:rsid w:val="005d1651"/>
    <w:rPr>
      <w:rFonts w:eastAsia="SimSun;宋体"/>
      <w:b w:val="false"/>
      <w:i w:val="false"/>
    </w:rPr>
  </w:style>
  <w:style w:type="character" w:styleId="WW8Num39z3" w:customStyle="1">
    <w:name w:val="WW8Num39z3"/>
    <w:qFormat/>
    <w:rsid w:val="005d1651"/>
    <w:rPr/>
  </w:style>
  <w:style w:type="character" w:styleId="WW8Num17z0" w:customStyle="1">
    <w:name w:val="WW8Num17z0"/>
    <w:qFormat/>
    <w:rsid w:val="005d1651"/>
    <w:rPr>
      <w:b w:val="false"/>
      <w:bCs w:val="false"/>
      <w:sz w:val="22"/>
      <w:szCs w:val="22"/>
    </w:rPr>
  </w:style>
  <w:style w:type="character" w:styleId="WW8Num12z0" w:customStyle="1">
    <w:name w:val="WW8Num12z0"/>
    <w:qFormat/>
    <w:rsid w:val="005d1651"/>
    <w:rPr/>
  </w:style>
  <w:style w:type="character" w:styleId="WW8Num10z0" w:customStyle="1">
    <w:name w:val="WW8Num10z0"/>
    <w:qFormat/>
    <w:rsid w:val="005d1651"/>
    <w:rPr/>
  </w:style>
  <w:style w:type="character" w:styleId="WW8Num2z0" w:customStyle="1">
    <w:name w:val="WW8Num2z0"/>
    <w:qFormat/>
    <w:rsid w:val="005d1651"/>
    <w:rPr>
      <w:i/>
      <w:iCs/>
    </w:rPr>
  </w:style>
  <w:style w:type="character" w:styleId="WW8Num15z0" w:customStyle="1">
    <w:name w:val="WW8Num15z0"/>
    <w:qFormat/>
    <w:rsid w:val="005d1651"/>
    <w:rPr>
      <w:b/>
      <w:sz w:val="24"/>
    </w:rPr>
  </w:style>
  <w:style w:type="character" w:styleId="ListLabel3" w:customStyle="1">
    <w:name w:val="ListLabel 3"/>
    <w:qFormat/>
    <w:rsid w:val="005d1651"/>
    <w:rPr>
      <w:rFonts w:cs="Times New Roman"/>
      <w:sz w:val="22"/>
    </w:rPr>
  </w:style>
  <w:style w:type="character" w:styleId="ListLabel6" w:customStyle="1">
    <w:name w:val="ListLabel 6"/>
    <w:qFormat/>
    <w:rsid w:val="005d1651"/>
    <w:rPr>
      <w:i w:val="false"/>
      <w:sz w:val="22"/>
    </w:rPr>
  </w:style>
  <w:style w:type="character" w:styleId="ListLabel7" w:customStyle="1">
    <w:name w:val="ListLabel 7"/>
    <w:qFormat/>
    <w:rsid w:val="005d1651"/>
    <w:rPr>
      <w:rFonts w:eastAsia="Times New Roman" w:cs="Times New Roman"/>
      <w:i w:val="false"/>
      <w:sz w:val="22"/>
      <w:szCs w:val="24"/>
    </w:rPr>
  </w:style>
  <w:style w:type="character" w:styleId="ListLabel8" w:customStyle="1">
    <w:name w:val="ListLabel 8"/>
    <w:qFormat/>
    <w:rsid w:val="005d1651"/>
    <w:rPr>
      <w:rFonts w:ascii="Times New Roman" w:hAnsi="Times New Roman" w:eastAsia="Times New Roman" w:cs="Times New Roman"/>
      <w:sz w:val="22"/>
    </w:rPr>
  </w:style>
  <w:style w:type="character" w:styleId="ListLabel4" w:customStyle="1">
    <w:name w:val="ListLabel 4"/>
    <w:qFormat/>
    <w:rsid w:val="005d1651"/>
    <w:rPr>
      <w:color w:val="00000A"/>
      <w:sz w:val="22"/>
    </w:rPr>
  </w:style>
  <w:style w:type="character" w:styleId="ListLabel2" w:customStyle="1">
    <w:name w:val="ListLabel 2"/>
    <w:qFormat/>
    <w:rsid w:val="005d1651"/>
    <w:rPr>
      <w:rFonts w:cs="Courier New"/>
    </w:rPr>
  </w:style>
  <w:style w:type="character" w:styleId="WW8Num14z0" w:customStyle="1">
    <w:name w:val="WW8Num14z0"/>
    <w:qFormat/>
    <w:rsid w:val="005d1651"/>
    <w:rPr>
      <w:b/>
      <w:bCs w:val="false"/>
      <w:sz w:val="24"/>
    </w:rPr>
  </w:style>
  <w:style w:type="character" w:styleId="WW8Num14z2" w:customStyle="1">
    <w:name w:val="WW8Num14z2"/>
    <w:qFormat/>
    <w:rsid w:val="005d1651"/>
    <w:rPr>
      <w:rFonts w:eastAsia="SimSun;宋体"/>
      <w:b w:val="false"/>
      <w:i w:val="false"/>
    </w:rPr>
  </w:style>
  <w:style w:type="character" w:styleId="WW8Num14z3" w:customStyle="1">
    <w:name w:val="WW8Num14z3"/>
    <w:qFormat/>
    <w:rsid w:val="005d1651"/>
    <w:rPr/>
  </w:style>
  <w:style w:type="character" w:styleId="WW8Num19z0" w:customStyle="1">
    <w:name w:val="WW8Num19z0"/>
    <w:qFormat/>
    <w:rsid w:val="005d1651"/>
    <w:rPr>
      <w:b/>
      <w:bCs/>
    </w:rPr>
  </w:style>
  <w:style w:type="character" w:styleId="WW8Num19z1" w:customStyle="1">
    <w:name w:val="WW8Num19z1"/>
    <w:qFormat/>
    <w:rsid w:val="005d1651"/>
    <w:rPr/>
  </w:style>
  <w:style w:type="character" w:styleId="WW8Num19z2" w:customStyle="1">
    <w:name w:val="WW8Num19z2"/>
    <w:qFormat/>
    <w:rsid w:val="005d1651"/>
    <w:rPr/>
  </w:style>
  <w:style w:type="character" w:styleId="WW8Num19z3" w:customStyle="1">
    <w:name w:val="WW8Num19z3"/>
    <w:qFormat/>
    <w:rsid w:val="005d1651"/>
    <w:rPr/>
  </w:style>
  <w:style w:type="character" w:styleId="WW8Num19z4" w:customStyle="1">
    <w:name w:val="WW8Num19z4"/>
    <w:qFormat/>
    <w:rsid w:val="005d1651"/>
    <w:rPr/>
  </w:style>
  <w:style w:type="character" w:styleId="WW8Num19z5" w:customStyle="1">
    <w:name w:val="WW8Num19z5"/>
    <w:qFormat/>
    <w:rsid w:val="005d1651"/>
    <w:rPr/>
  </w:style>
  <w:style w:type="character" w:styleId="WW8Num19z6" w:customStyle="1">
    <w:name w:val="WW8Num19z6"/>
    <w:qFormat/>
    <w:rsid w:val="005d1651"/>
    <w:rPr/>
  </w:style>
  <w:style w:type="character" w:styleId="WW8Num19z7" w:customStyle="1">
    <w:name w:val="WW8Num19z7"/>
    <w:qFormat/>
    <w:rsid w:val="005d1651"/>
    <w:rPr/>
  </w:style>
  <w:style w:type="character" w:styleId="WW8Num19z8" w:customStyle="1">
    <w:name w:val="WW8Num19z8"/>
    <w:qFormat/>
    <w:rsid w:val="005d1651"/>
    <w:rPr/>
  </w:style>
  <w:style w:type="character" w:styleId="WW8Num25z0" w:customStyle="1">
    <w:name w:val="WW8Num25z0"/>
    <w:qFormat/>
    <w:rsid w:val="005d1651"/>
    <w:rPr/>
  </w:style>
  <w:style w:type="character" w:styleId="WW8Num25z1" w:customStyle="1">
    <w:name w:val="WW8Num25z1"/>
    <w:qFormat/>
    <w:rsid w:val="005d1651"/>
    <w:rPr/>
  </w:style>
  <w:style w:type="character" w:styleId="WW8Num25z2" w:customStyle="1">
    <w:name w:val="WW8Num25z2"/>
    <w:qFormat/>
    <w:rsid w:val="005d1651"/>
    <w:rPr/>
  </w:style>
  <w:style w:type="character" w:styleId="WW8Num25z3" w:customStyle="1">
    <w:name w:val="WW8Num25z3"/>
    <w:qFormat/>
    <w:rsid w:val="005d1651"/>
    <w:rPr/>
  </w:style>
  <w:style w:type="character" w:styleId="WW8Num25z4" w:customStyle="1">
    <w:name w:val="WW8Num25z4"/>
    <w:qFormat/>
    <w:rsid w:val="005d1651"/>
    <w:rPr/>
  </w:style>
  <w:style w:type="character" w:styleId="WW8Num25z5" w:customStyle="1">
    <w:name w:val="WW8Num25z5"/>
    <w:qFormat/>
    <w:rsid w:val="005d1651"/>
    <w:rPr/>
  </w:style>
  <w:style w:type="character" w:styleId="WW8Num25z6" w:customStyle="1">
    <w:name w:val="WW8Num25z6"/>
    <w:qFormat/>
    <w:rsid w:val="005d1651"/>
    <w:rPr/>
  </w:style>
  <w:style w:type="character" w:styleId="WW8Num25z7" w:customStyle="1">
    <w:name w:val="WW8Num25z7"/>
    <w:qFormat/>
    <w:rsid w:val="005d1651"/>
    <w:rPr/>
  </w:style>
  <w:style w:type="character" w:styleId="WW8Num25z8" w:customStyle="1">
    <w:name w:val="WW8Num25z8"/>
    <w:qFormat/>
    <w:rsid w:val="005d1651"/>
    <w:rPr/>
  </w:style>
  <w:style w:type="character" w:styleId="WW8Num9z0" w:customStyle="1">
    <w:name w:val="WW8Num9z0"/>
    <w:qFormat/>
    <w:rsid w:val="005d1651"/>
    <w:rPr>
      <w:b w:val="false"/>
      <w:color w:val="000000"/>
    </w:rPr>
  </w:style>
  <w:style w:type="character" w:styleId="ListLabel9" w:customStyle="1">
    <w:name w:val="ListLabel 9"/>
    <w:qFormat/>
    <w:rsid w:val="005d1651"/>
    <w:rPr>
      <w:b w:val="false"/>
      <w:bCs w:val="false"/>
      <w:sz w:val="22"/>
      <w:szCs w:val="22"/>
    </w:rPr>
  </w:style>
  <w:style w:type="character" w:styleId="ListLabel10" w:customStyle="1">
    <w:name w:val="ListLabel 10"/>
    <w:qFormat/>
    <w:rsid w:val="005d1651"/>
    <w:rPr>
      <w:rFonts w:ascii="Times New Roman" w:hAnsi="Times New Roman"/>
      <w:sz w:val="22"/>
    </w:rPr>
  </w:style>
  <w:style w:type="character" w:styleId="ListLabel11" w:customStyle="1">
    <w:name w:val="ListLabel 11"/>
    <w:qFormat/>
    <w:rsid w:val="005d1651"/>
    <w:rPr>
      <w:i w:val="false"/>
      <w:sz w:val="22"/>
    </w:rPr>
  </w:style>
  <w:style w:type="character" w:styleId="ListLabel12" w:customStyle="1">
    <w:name w:val="ListLabel 12"/>
    <w:qFormat/>
    <w:rsid w:val="005d1651"/>
    <w:rPr>
      <w:i w:val="false"/>
      <w:sz w:val="22"/>
      <w:szCs w:val="24"/>
    </w:rPr>
  </w:style>
  <w:style w:type="character" w:styleId="ListLabel13" w:customStyle="1">
    <w:name w:val="ListLabel 13"/>
    <w:qFormat/>
    <w:rsid w:val="005d1651"/>
    <w:rPr>
      <w:rFonts w:cs="Courier New"/>
    </w:rPr>
  </w:style>
  <w:style w:type="character" w:styleId="ListLabel14" w:customStyle="1">
    <w:name w:val="ListLabel 14"/>
    <w:qFormat/>
    <w:rsid w:val="005d1651"/>
    <w:rPr>
      <w:rFonts w:cs="Wingdings"/>
    </w:rPr>
  </w:style>
  <w:style w:type="character" w:styleId="ListLabel15" w:customStyle="1">
    <w:name w:val="ListLabel 15"/>
    <w:qFormat/>
    <w:rsid w:val="005d1651"/>
    <w:rPr>
      <w:rFonts w:cs="Symbol"/>
    </w:rPr>
  </w:style>
  <w:style w:type="character" w:styleId="ListLabel16" w:customStyle="1">
    <w:name w:val="ListLabel 16"/>
    <w:qFormat/>
    <w:rsid w:val="005d1651"/>
    <w:rPr>
      <w:rFonts w:ascii="Times New Roman" w:hAnsi="Times New Roman"/>
      <w:b/>
      <w:bCs/>
      <w:sz w:val="24"/>
    </w:rPr>
  </w:style>
  <w:style w:type="character" w:styleId="ListLabel17" w:customStyle="1">
    <w:name w:val="ListLabel 17"/>
    <w:qFormat/>
    <w:rsid w:val="005d1651"/>
    <w:rPr>
      <w:rFonts w:ascii="Times New Roman" w:hAnsi="Times New Roman"/>
      <w:b w:val="false"/>
      <w:sz w:val="24"/>
    </w:rPr>
  </w:style>
  <w:style w:type="character" w:styleId="WW8Num7z0" w:customStyle="1">
    <w:name w:val="WW8Num7z0"/>
    <w:qFormat/>
    <w:rsid w:val="005d1651"/>
    <w:rPr>
      <w:rFonts w:ascii="Symbol" w:hAnsi="Symbol" w:cs="Symbol"/>
      <w:sz w:val="24"/>
    </w:rPr>
  </w:style>
  <w:style w:type="character" w:styleId="ListLabel18" w:customStyle="1">
    <w:name w:val="ListLabel 18"/>
    <w:qFormat/>
    <w:rsid w:val="005d1651"/>
    <w:rPr>
      <w:b w:val="false"/>
      <w:bCs w:val="false"/>
      <w:sz w:val="22"/>
      <w:szCs w:val="22"/>
    </w:rPr>
  </w:style>
  <w:style w:type="character" w:styleId="ListLabel19" w:customStyle="1">
    <w:name w:val="ListLabel 19"/>
    <w:qFormat/>
    <w:rsid w:val="005d1651"/>
    <w:rPr>
      <w:rFonts w:ascii="Times New Roman" w:hAnsi="Times New Roman"/>
      <w:sz w:val="22"/>
    </w:rPr>
  </w:style>
  <w:style w:type="character" w:styleId="ListLabel20" w:customStyle="1">
    <w:name w:val="ListLabel 20"/>
    <w:qFormat/>
    <w:rsid w:val="005d1651"/>
    <w:rPr>
      <w:rFonts w:ascii="Times New Roman" w:hAnsi="Times New Roman"/>
      <w:i w:val="false"/>
      <w:sz w:val="24"/>
      <w:szCs w:val="24"/>
    </w:rPr>
  </w:style>
  <w:style w:type="character" w:styleId="ListLabel21" w:customStyle="1">
    <w:name w:val="ListLabel 21"/>
    <w:qFormat/>
    <w:rsid w:val="005d1651"/>
    <w:rPr>
      <w:rFonts w:cs="Courier New"/>
    </w:rPr>
  </w:style>
  <w:style w:type="character" w:styleId="ListLabel22" w:customStyle="1">
    <w:name w:val="ListLabel 22"/>
    <w:qFormat/>
    <w:rsid w:val="005d1651"/>
    <w:rPr>
      <w:rFonts w:cs="Wingdings"/>
    </w:rPr>
  </w:style>
  <w:style w:type="character" w:styleId="ListLabel23" w:customStyle="1">
    <w:name w:val="ListLabel 23"/>
    <w:qFormat/>
    <w:rsid w:val="005d1651"/>
    <w:rPr>
      <w:rFonts w:cs="Symbol"/>
    </w:rPr>
  </w:style>
  <w:style w:type="character" w:styleId="ListLabel24" w:customStyle="1">
    <w:name w:val="ListLabel 24"/>
    <w:qFormat/>
    <w:rsid w:val="005d1651"/>
    <w:rPr>
      <w:rFonts w:ascii="Times New Roman" w:hAnsi="Times New Roman"/>
      <w:b/>
      <w:bCs/>
      <w:sz w:val="24"/>
    </w:rPr>
  </w:style>
  <w:style w:type="character" w:styleId="ListLabel25" w:customStyle="1">
    <w:name w:val="ListLabel 25"/>
    <w:qFormat/>
    <w:rsid w:val="005d1651"/>
    <w:rPr>
      <w:rFonts w:ascii="Times New Roman" w:hAnsi="Times New Roman"/>
      <w:b w:val="false"/>
      <w:sz w:val="24"/>
    </w:rPr>
  </w:style>
  <w:style w:type="character" w:styleId="ListLabel26" w:customStyle="1">
    <w:name w:val="ListLabel 26"/>
    <w:qFormat/>
    <w:rsid w:val="005d1651"/>
    <w:rPr>
      <w:b w:val="false"/>
      <w:bCs w:val="false"/>
      <w:sz w:val="22"/>
      <w:szCs w:val="22"/>
    </w:rPr>
  </w:style>
  <w:style w:type="character" w:styleId="ListLabel27" w:customStyle="1">
    <w:name w:val="ListLabel 27"/>
    <w:qFormat/>
    <w:rsid w:val="005d1651"/>
    <w:rPr>
      <w:rFonts w:ascii="Times New Roman" w:hAnsi="Times New Roman"/>
      <w:sz w:val="22"/>
    </w:rPr>
  </w:style>
  <w:style w:type="character" w:styleId="ListLabel28" w:customStyle="1">
    <w:name w:val="ListLabel 28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29" w:customStyle="1">
    <w:name w:val="ListLabel 29"/>
    <w:qFormat/>
    <w:rsid w:val="005d1651"/>
    <w:rPr>
      <w:rFonts w:cs="Courier New"/>
    </w:rPr>
  </w:style>
  <w:style w:type="character" w:styleId="ListLabel30" w:customStyle="1">
    <w:name w:val="ListLabel 30"/>
    <w:qFormat/>
    <w:rsid w:val="005d1651"/>
    <w:rPr>
      <w:rFonts w:cs="Wingdings"/>
    </w:rPr>
  </w:style>
  <w:style w:type="character" w:styleId="ListLabel31" w:customStyle="1">
    <w:name w:val="ListLabel 31"/>
    <w:qFormat/>
    <w:rsid w:val="005d1651"/>
    <w:rPr>
      <w:rFonts w:cs="Symbol"/>
    </w:rPr>
  </w:style>
  <w:style w:type="character" w:styleId="ListLabel32" w:customStyle="1">
    <w:name w:val="ListLabel 32"/>
    <w:qFormat/>
    <w:rsid w:val="005d1651"/>
    <w:rPr>
      <w:rFonts w:ascii="Times New Roman" w:hAnsi="Times New Roman"/>
      <w:b/>
      <w:bCs/>
      <w:sz w:val="22"/>
    </w:rPr>
  </w:style>
  <w:style w:type="character" w:styleId="ListLabel33" w:customStyle="1">
    <w:name w:val="ListLabel 33"/>
    <w:qFormat/>
    <w:rsid w:val="005d1651"/>
    <w:rPr>
      <w:rFonts w:ascii="Times New Roman" w:hAnsi="Times New Roman"/>
      <w:b w:val="false"/>
      <w:sz w:val="22"/>
    </w:rPr>
  </w:style>
  <w:style w:type="character" w:styleId="ListLabel34" w:customStyle="1">
    <w:name w:val="ListLabel 34"/>
    <w:qFormat/>
    <w:rsid w:val="005d1651"/>
    <w:rPr>
      <w:b w:val="false"/>
      <w:bCs w:val="false"/>
      <w:sz w:val="22"/>
      <w:szCs w:val="22"/>
    </w:rPr>
  </w:style>
  <w:style w:type="character" w:styleId="ListLabel35" w:customStyle="1">
    <w:name w:val="ListLabel 35"/>
    <w:qFormat/>
    <w:rsid w:val="005d1651"/>
    <w:rPr>
      <w:rFonts w:ascii="Times New Roman" w:hAnsi="Times New Roman"/>
      <w:sz w:val="22"/>
    </w:rPr>
  </w:style>
  <w:style w:type="character" w:styleId="ListLabel36" w:customStyle="1">
    <w:name w:val="ListLabel 36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37" w:customStyle="1">
    <w:name w:val="ListLabel 37"/>
    <w:qFormat/>
    <w:rsid w:val="005d1651"/>
    <w:rPr>
      <w:rFonts w:cs="Courier New"/>
    </w:rPr>
  </w:style>
  <w:style w:type="character" w:styleId="ListLabel38" w:customStyle="1">
    <w:name w:val="ListLabel 38"/>
    <w:qFormat/>
    <w:rsid w:val="005d1651"/>
    <w:rPr>
      <w:rFonts w:cs="Wingdings"/>
    </w:rPr>
  </w:style>
  <w:style w:type="character" w:styleId="ListLabel39" w:customStyle="1">
    <w:name w:val="ListLabel 39"/>
    <w:qFormat/>
    <w:rsid w:val="005d1651"/>
    <w:rPr>
      <w:rFonts w:cs="Symbol"/>
    </w:rPr>
  </w:style>
  <w:style w:type="character" w:styleId="ListLabel40" w:customStyle="1">
    <w:name w:val="ListLabel 40"/>
    <w:qFormat/>
    <w:rsid w:val="005d1651"/>
    <w:rPr>
      <w:rFonts w:ascii="Times New Roman" w:hAnsi="Times New Roman"/>
      <w:b/>
      <w:bCs/>
      <w:sz w:val="22"/>
    </w:rPr>
  </w:style>
  <w:style w:type="character" w:styleId="ListLabel41" w:customStyle="1">
    <w:name w:val="ListLabel 41"/>
    <w:qFormat/>
    <w:rsid w:val="005d1651"/>
    <w:rPr>
      <w:rFonts w:ascii="Times New Roman" w:hAnsi="Times New Roman"/>
      <w:b w:val="false"/>
      <w:sz w:val="22"/>
    </w:rPr>
  </w:style>
  <w:style w:type="character" w:styleId="ListLabel42" w:customStyle="1">
    <w:name w:val="ListLabel 42"/>
    <w:qFormat/>
    <w:rsid w:val="005d1651"/>
    <w:rPr>
      <w:b w:val="false"/>
      <w:bCs w:val="false"/>
      <w:sz w:val="22"/>
      <w:szCs w:val="22"/>
    </w:rPr>
  </w:style>
  <w:style w:type="character" w:styleId="ListLabel43" w:customStyle="1">
    <w:name w:val="ListLabel 43"/>
    <w:qFormat/>
    <w:rsid w:val="005d1651"/>
    <w:rPr>
      <w:rFonts w:ascii="Times New Roman" w:hAnsi="Times New Roman"/>
      <w:sz w:val="22"/>
    </w:rPr>
  </w:style>
  <w:style w:type="character" w:styleId="ListLabel44" w:customStyle="1">
    <w:name w:val="ListLabel 44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45" w:customStyle="1">
    <w:name w:val="ListLabel 45"/>
    <w:qFormat/>
    <w:rsid w:val="005d1651"/>
    <w:rPr>
      <w:rFonts w:cs="Courier New"/>
    </w:rPr>
  </w:style>
  <w:style w:type="character" w:styleId="ListLabel46" w:customStyle="1">
    <w:name w:val="ListLabel 46"/>
    <w:qFormat/>
    <w:rsid w:val="005d1651"/>
    <w:rPr>
      <w:rFonts w:cs="Wingdings"/>
    </w:rPr>
  </w:style>
  <w:style w:type="character" w:styleId="ListLabel47" w:customStyle="1">
    <w:name w:val="ListLabel 47"/>
    <w:qFormat/>
    <w:rsid w:val="005d1651"/>
    <w:rPr>
      <w:rFonts w:cs="Symbol"/>
    </w:rPr>
  </w:style>
  <w:style w:type="character" w:styleId="ListLabel48" w:customStyle="1">
    <w:name w:val="ListLabel 48"/>
    <w:qFormat/>
    <w:rsid w:val="005d1651"/>
    <w:rPr>
      <w:rFonts w:ascii="Times New Roman" w:hAnsi="Times New Roman"/>
      <w:b/>
      <w:bCs/>
      <w:sz w:val="22"/>
    </w:rPr>
  </w:style>
  <w:style w:type="character" w:styleId="ListLabel49" w:customStyle="1">
    <w:name w:val="ListLabel 49"/>
    <w:qFormat/>
    <w:rsid w:val="005d1651"/>
    <w:rPr>
      <w:rFonts w:ascii="Times New Roman" w:hAnsi="Times New Roman"/>
      <w:b w:val="false"/>
      <w:sz w:val="22"/>
    </w:rPr>
  </w:style>
  <w:style w:type="character" w:styleId="ListLabel50" w:customStyle="1">
    <w:name w:val="ListLabel 50"/>
    <w:qFormat/>
    <w:rsid w:val="005d1651"/>
    <w:rPr>
      <w:b w:val="false"/>
      <w:bCs w:val="false"/>
      <w:sz w:val="22"/>
      <w:szCs w:val="22"/>
    </w:rPr>
  </w:style>
  <w:style w:type="character" w:styleId="ListLabel51" w:customStyle="1">
    <w:name w:val="ListLabel 51"/>
    <w:qFormat/>
    <w:rsid w:val="005d1651"/>
    <w:rPr>
      <w:rFonts w:ascii="Times New Roman" w:hAnsi="Times New Roman"/>
      <w:sz w:val="22"/>
    </w:rPr>
  </w:style>
  <w:style w:type="character" w:styleId="ListLabel52" w:customStyle="1">
    <w:name w:val="ListLabel 52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53" w:customStyle="1">
    <w:name w:val="ListLabel 53"/>
    <w:qFormat/>
    <w:rsid w:val="005d1651"/>
    <w:rPr>
      <w:rFonts w:cs="Courier New"/>
    </w:rPr>
  </w:style>
  <w:style w:type="character" w:styleId="ListLabel54" w:customStyle="1">
    <w:name w:val="ListLabel 54"/>
    <w:qFormat/>
    <w:rsid w:val="005d1651"/>
    <w:rPr>
      <w:rFonts w:cs="Wingdings"/>
    </w:rPr>
  </w:style>
  <w:style w:type="character" w:styleId="ListLabel55" w:customStyle="1">
    <w:name w:val="ListLabel 55"/>
    <w:qFormat/>
    <w:rsid w:val="005d1651"/>
    <w:rPr>
      <w:rFonts w:cs="Symbol"/>
    </w:rPr>
  </w:style>
  <w:style w:type="character" w:styleId="ListLabel56" w:customStyle="1">
    <w:name w:val="ListLabel 56"/>
    <w:qFormat/>
    <w:rsid w:val="005d1651"/>
    <w:rPr>
      <w:rFonts w:ascii="Times New Roman" w:hAnsi="Times New Roman"/>
      <w:b/>
      <w:bCs/>
      <w:sz w:val="22"/>
    </w:rPr>
  </w:style>
  <w:style w:type="character" w:styleId="ListLabel57" w:customStyle="1">
    <w:name w:val="ListLabel 57"/>
    <w:qFormat/>
    <w:rsid w:val="005d1651"/>
    <w:rPr>
      <w:rFonts w:ascii="Times New Roman" w:hAnsi="Times New Roman"/>
      <w:b w:val="false"/>
      <w:sz w:val="22"/>
    </w:rPr>
  </w:style>
  <w:style w:type="character" w:styleId="ListLabel58" w:customStyle="1">
    <w:name w:val="ListLabel 58"/>
    <w:qFormat/>
    <w:rsid w:val="005d1651"/>
    <w:rPr>
      <w:b w:val="false"/>
      <w:bCs w:val="false"/>
      <w:sz w:val="22"/>
      <w:szCs w:val="22"/>
    </w:rPr>
  </w:style>
  <w:style w:type="character" w:styleId="ListLabel59" w:customStyle="1">
    <w:name w:val="ListLabel 59"/>
    <w:qFormat/>
    <w:rsid w:val="005d1651"/>
    <w:rPr>
      <w:rFonts w:ascii="Times New Roman" w:hAnsi="Times New Roman"/>
      <w:sz w:val="22"/>
    </w:rPr>
  </w:style>
  <w:style w:type="character" w:styleId="ListLabel60" w:customStyle="1">
    <w:name w:val="ListLabel 60"/>
    <w:qFormat/>
    <w:rsid w:val="005d1651"/>
    <w:rPr>
      <w:rFonts w:cs="Courier New"/>
    </w:rPr>
  </w:style>
  <w:style w:type="character" w:styleId="ListLabel61" w:customStyle="1">
    <w:name w:val="ListLabel 61"/>
    <w:qFormat/>
    <w:rsid w:val="005d1651"/>
    <w:rPr>
      <w:rFonts w:cs="Wingdings"/>
    </w:rPr>
  </w:style>
  <w:style w:type="character" w:styleId="ListLabel62" w:customStyle="1">
    <w:name w:val="ListLabel 62"/>
    <w:qFormat/>
    <w:rsid w:val="005d1651"/>
    <w:rPr>
      <w:rFonts w:cs="Symbol"/>
    </w:rPr>
  </w:style>
  <w:style w:type="character" w:styleId="ListLabel63" w:customStyle="1">
    <w:name w:val="ListLabel 63"/>
    <w:qFormat/>
    <w:rsid w:val="005d1651"/>
    <w:rPr>
      <w:rFonts w:ascii="Times New Roman" w:hAnsi="Times New Roman"/>
      <w:b/>
      <w:bCs/>
      <w:sz w:val="22"/>
    </w:rPr>
  </w:style>
  <w:style w:type="character" w:styleId="ListLabel64" w:customStyle="1">
    <w:name w:val="ListLabel 64"/>
    <w:qFormat/>
    <w:rsid w:val="005d1651"/>
    <w:rPr>
      <w:rFonts w:ascii="Times New Roman" w:hAnsi="Times New Roman"/>
      <w:b w:val="false"/>
      <w:sz w:val="22"/>
    </w:rPr>
  </w:style>
  <w:style w:type="character" w:styleId="ListLabel65" w:customStyle="1">
    <w:name w:val="ListLabel 65"/>
    <w:qFormat/>
    <w:rsid w:val="005d1651"/>
    <w:rPr>
      <w:b w:val="false"/>
      <w:bCs w:val="false"/>
      <w:sz w:val="22"/>
      <w:szCs w:val="22"/>
    </w:rPr>
  </w:style>
  <w:style w:type="character" w:styleId="ListLabel66" w:customStyle="1">
    <w:name w:val="ListLabel 66"/>
    <w:qFormat/>
    <w:rsid w:val="005d1651"/>
    <w:rPr>
      <w:rFonts w:ascii="Times New Roman" w:hAnsi="Times New Roman"/>
      <w:sz w:val="22"/>
    </w:rPr>
  </w:style>
  <w:style w:type="character" w:styleId="ListLabel67" w:customStyle="1">
    <w:name w:val="ListLabel 67"/>
    <w:qFormat/>
    <w:rsid w:val="005d1651"/>
    <w:rPr>
      <w:rFonts w:cs="Courier New"/>
    </w:rPr>
  </w:style>
  <w:style w:type="character" w:styleId="ListLabel68" w:customStyle="1">
    <w:name w:val="ListLabel 68"/>
    <w:qFormat/>
    <w:rsid w:val="005d1651"/>
    <w:rPr>
      <w:rFonts w:cs="Wingdings"/>
    </w:rPr>
  </w:style>
  <w:style w:type="character" w:styleId="ListLabel69" w:customStyle="1">
    <w:name w:val="ListLabel 69"/>
    <w:qFormat/>
    <w:rsid w:val="005d1651"/>
    <w:rPr>
      <w:rFonts w:cs="Symbol"/>
    </w:rPr>
  </w:style>
  <w:style w:type="character" w:styleId="ListLabel70" w:customStyle="1">
    <w:name w:val="ListLabel 70"/>
    <w:qFormat/>
    <w:rsid w:val="005d1651"/>
    <w:rPr>
      <w:rFonts w:ascii="Times New Roman" w:hAnsi="Times New Roman"/>
      <w:b/>
      <w:bCs/>
      <w:sz w:val="22"/>
    </w:rPr>
  </w:style>
  <w:style w:type="character" w:styleId="ListLabel71" w:customStyle="1">
    <w:name w:val="ListLabel 71"/>
    <w:qFormat/>
    <w:rsid w:val="005d1651"/>
    <w:rPr>
      <w:rFonts w:ascii="Times New Roman" w:hAnsi="Times New Roman"/>
      <w:b w:val="false"/>
      <w:sz w:val="22"/>
    </w:rPr>
  </w:style>
  <w:style w:type="character" w:styleId="ListLabel72" w:customStyle="1">
    <w:name w:val="ListLabel 72"/>
    <w:qFormat/>
    <w:rsid w:val="005d1651"/>
    <w:rPr>
      <w:rFonts w:cs="Courier New"/>
    </w:rPr>
  </w:style>
  <w:style w:type="character" w:styleId="ListLabel73" w:customStyle="1">
    <w:name w:val="ListLabel 73"/>
    <w:qFormat/>
    <w:rsid w:val="005d1651"/>
    <w:rPr>
      <w:rFonts w:cs="Wingdings"/>
    </w:rPr>
  </w:style>
  <w:style w:type="character" w:styleId="ListLabel74" w:customStyle="1">
    <w:name w:val="ListLabel 74"/>
    <w:qFormat/>
    <w:rsid w:val="005d1651"/>
    <w:rPr>
      <w:rFonts w:cs="Symbol"/>
    </w:rPr>
  </w:style>
  <w:style w:type="character" w:styleId="ListLabel75" w:customStyle="1">
    <w:name w:val="ListLabel 75"/>
    <w:qFormat/>
    <w:rsid w:val="005d1651"/>
    <w:rPr>
      <w:rFonts w:ascii="Times New Roman" w:hAnsi="Times New Roman"/>
      <w:b/>
      <w:bCs/>
      <w:sz w:val="22"/>
    </w:rPr>
  </w:style>
  <w:style w:type="character" w:styleId="ListLabel76" w:customStyle="1">
    <w:name w:val="ListLabel 76"/>
    <w:qFormat/>
    <w:rsid w:val="005d1651"/>
    <w:rPr>
      <w:rFonts w:ascii="Times New Roman" w:hAnsi="Times New Roman"/>
      <w:b w:val="false"/>
      <w:sz w:val="22"/>
    </w:rPr>
  </w:style>
  <w:style w:type="character" w:styleId="ListLabel77" w:customStyle="1">
    <w:name w:val="ListLabel 77"/>
    <w:qFormat/>
    <w:rsid w:val="005d1651"/>
    <w:rPr>
      <w:rFonts w:cs="Courier New"/>
    </w:rPr>
  </w:style>
  <w:style w:type="character" w:styleId="ListLabel78" w:customStyle="1">
    <w:name w:val="ListLabel 78"/>
    <w:qFormat/>
    <w:rsid w:val="005d1651"/>
    <w:rPr>
      <w:rFonts w:cs="Wingdings"/>
    </w:rPr>
  </w:style>
  <w:style w:type="character" w:styleId="ListLabel79" w:customStyle="1">
    <w:name w:val="ListLabel 79"/>
    <w:qFormat/>
    <w:rsid w:val="005d1651"/>
    <w:rPr>
      <w:rFonts w:cs="Symbol"/>
    </w:rPr>
  </w:style>
  <w:style w:type="character" w:styleId="ListLabel80" w:customStyle="1">
    <w:name w:val="ListLabel 80"/>
    <w:qFormat/>
    <w:rsid w:val="005d1651"/>
    <w:rPr>
      <w:rFonts w:ascii="Times New Roman" w:hAnsi="Times New Roman"/>
      <w:b/>
      <w:bCs/>
      <w:sz w:val="22"/>
    </w:rPr>
  </w:style>
  <w:style w:type="character" w:styleId="ListLabel81" w:customStyle="1">
    <w:name w:val="ListLabel 81"/>
    <w:qFormat/>
    <w:rsid w:val="005d1651"/>
    <w:rPr>
      <w:rFonts w:ascii="Times New Roman" w:hAnsi="Times New Roman"/>
      <w:b w:val="false"/>
      <w:sz w:val="22"/>
    </w:rPr>
  </w:style>
  <w:style w:type="character" w:styleId="ListLabel82" w:customStyle="1">
    <w:name w:val="ListLabel 82"/>
    <w:qFormat/>
    <w:rsid w:val="005d1651"/>
    <w:rPr>
      <w:rFonts w:cs="Courier New"/>
    </w:rPr>
  </w:style>
  <w:style w:type="character" w:styleId="ListLabel83" w:customStyle="1">
    <w:name w:val="ListLabel 83"/>
    <w:qFormat/>
    <w:rsid w:val="005d1651"/>
    <w:rPr>
      <w:rFonts w:cs="Wingdings"/>
    </w:rPr>
  </w:style>
  <w:style w:type="character" w:styleId="ListLabel84" w:customStyle="1">
    <w:name w:val="ListLabel 84"/>
    <w:qFormat/>
    <w:rsid w:val="005d1651"/>
    <w:rPr>
      <w:rFonts w:cs="Symbol"/>
    </w:rPr>
  </w:style>
  <w:style w:type="character" w:styleId="ListLabel85" w:customStyle="1">
    <w:name w:val="ListLabel 85"/>
    <w:qFormat/>
    <w:rsid w:val="005d1651"/>
    <w:rPr>
      <w:rFonts w:ascii="Times New Roman" w:hAnsi="Times New Roman"/>
      <w:b/>
      <w:bCs/>
      <w:sz w:val="22"/>
    </w:rPr>
  </w:style>
  <w:style w:type="character" w:styleId="ListLabel86" w:customStyle="1">
    <w:name w:val="ListLabel 86"/>
    <w:qFormat/>
    <w:rsid w:val="005d1651"/>
    <w:rPr>
      <w:rFonts w:ascii="Times New Roman" w:hAnsi="Times New Roman"/>
      <w:b w:val="false"/>
      <w:sz w:val="22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b/>
      <w:bCs/>
      <w:sz w:val="22"/>
    </w:rPr>
  </w:style>
  <w:style w:type="character" w:styleId="ListLabel91">
    <w:name w:val="ListLabel 91"/>
    <w:qFormat/>
    <w:rPr>
      <w:b w:val="false"/>
      <w:sz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b/>
      <w:bCs/>
      <w:sz w:val="22"/>
    </w:rPr>
  </w:style>
  <w:style w:type="character" w:styleId="ListLabel96">
    <w:name w:val="ListLabel 96"/>
    <w:qFormat/>
    <w:rPr>
      <w:b w:val="false"/>
      <w:sz w:val="22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b/>
      <w:bCs/>
      <w:sz w:val="22"/>
    </w:rPr>
  </w:style>
  <w:style w:type="character" w:styleId="ListLabel101">
    <w:name w:val="ListLabel 101"/>
    <w:qFormat/>
    <w:rPr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5d1651"/>
    <w:pPr>
      <w:spacing w:before="0" w:after="120"/>
    </w:pPr>
    <w:rPr/>
  </w:style>
  <w:style w:type="paragraph" w:styleId="Lista">
    <w:name w:val="Lista"/>
    <w:basedOn w:val="Tretekstu"/>
    <w:rsid w:val="005d1651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d1651"/>
    <w:pPr>
      <w:suppressLineNumbers/>
    </w:pPr>
    <w:rPr/>
  </w:style>
  <w:style w:type="paragraph" w:styleId="Gwka" w:customStyle="1">
    <w:name w:val="Główka"/>
    <w:basedOn w:val="Normal"/>
    <w:rsid w:val="005d1651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5d1651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5d1651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rsid w:val="005d1651"/>
    <w:pPr>
      <w:spacing w:before="0" w:after="0"/>
      <w:ind w:left="720" w:hanging="0"/>
      <w:contextualSpacing/>
    </w:pPr>
    <w:rPr/>
  </w:style>
  <w:style w:type="paragraph" w:styleId="Podtytu">
    <w:name w:val="Podtytuł"/>
    <w:basedOn w:val="Normal"/>
    <w:rsid w:val="005d1651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rsid w:val="005d1651"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rsid w:val="005d1651"/>
    <w:pPr/>
    <w:rPr>
      <w:rFonts w:ascii="Courier" w:hAnsi="Courier"/>
    </w:rPr>
  </w:style>
  <w:style w:type="paragraph" w:styleId="BodyText2">
    <w:name w:val="Body Text 2"/>
    <w:basedOn w:val="Normal"/>
    <w:qFormat/>
    <w:rsid w:val="005d1651"/>
    <w:pPr>
      <w:overflowPunct w:val="true"/>
      <w:spacing w:lineRule="auto" w:line="480" w:before="0" w:after="120"/>
      <w:textAlignment w:val="baseline"/>
    </w:pPr>
    <w:rPr/>
  </w:style>
  <w:style w:type="paragraph" w:styleId="Blockquote" w:customStyle="1">
    <w:name w:val="Blockquote"/>
    <w:basedOn w:val="Normal"/>
    <w:qFormat/>
    <w:rsid w:val="005d1651"/>
    <w:pPr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rsid w:val="005d1651"/>
    <w:pPr/>
    <w:rPr/>
  </w:style>
  <w:style w:type="paragraph" w:styleId="Podpunkt" w:customStyle="1">
    <w:name w:val="podpunkt"/>
    <w:qFormat/>
    <w:rsid w:val="005d1651"/>
    <w:pPr>
      <w:widowControl/>
      <w:tabs>
        <w:tab w:val="left" w:pos="0" w:leader="none"/>
      </w:tabs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 w:customStyle="1">
    <w:name w:val="Tekst podstawowy wci?ty"/>
    <w:basedOn w:val="Normal"/>
    <w:qFormat/>
    <w:rsid w:val="005d1651"/>
    <w:pPr>
      <w:overflowPunct w:val="true"/>
      <w:ind w:firstLine="567"/>
      <w:textAlignment w:val="baseline"/>
    </w:pPr>
    <w:rPr>
      <w:b/>
      <w:szCs w:val="20"/>
    </w:rPr>
  </w:style>
  <w:style w:type="paragraph" w:styleId="Wcicietrecitekstu" w:customStyle="1">
    <w:name w:val="Wcięcie treści tekstu"/>
    <w:basedOn w:val="Normal"/>
    <w:rsid w:val="005d1651"/>
    <w:pPr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Zwykytekst1" w:customStyle="1">
    <w:name w:val="Zwykły tekst1"/>
    <w:basedOn w:val="Normal"/>
    <w:qFormat/>
    <w:rsid w:val="005d1651"/>
    <w:pPr>
      <w:suppressAutoHyphens w:val="false"/>
    </w:pPr>
    <w:rPr>
      <w:rFonts w:ascii="Courier New" w:hAnsi="Courier New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d1651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ormal"/>
    <w:qFormat/>
    <w:rsid w:val="005d1651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5d1651"/>
    <w:pPr>
      <w:suppressAutoHyphens w:val="false"/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5d1651"/>
    <w:pPr>
      <w:overflowPunct w:val="true"/>
      <w:ind w:left="1125" w:hanging="420"/>
      <w:jc w:val="both"/>
    </w:pPr>
    <w:rPr>
      <w:sz w:val="22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33" w:customStyle="1">
    <w:name w:val="WW8Num33"/>
    <w:rsid w:val="005d1651"/>
  </w:style>
  <w:style w:type="numbering" w:styleId="WW8Num23" w:customStyle="1">
    <w:name w:val="WW8Num23"/>
    <w:rsid w:val="005d1651"/>
  </w:style>
  <w:style w:type="numbering" w:styleId="WW8Num24" w:customStyle="1">
    <w:name w:val="WW8Num24"/>
    <w:rsid w:val="005d1651"/>
  </w:style>
  <w:style w:type="numbering" w:styleId="WW8Num39" w:customStyle="1">
    <w:name w:val="WW8Num39"/>
    <w:rsid w:val="005d1651"/>
  </w:style>
  <w:style w:type="numbering" w:styleId="WW8Num17" w:customStyle="1">
    <w:name w:val="WW8Num17"/>
    <w:rsid w:val="005d1651"/>
  </w:style>
  <w:style w:type="numbering" w:styleId="WW8Num12" w:customStyle="1">
    <w:name w:val="WW8Num12"/>
    <w:rsid w:val="005d1651"/>
  </w:style>
  <w:style w:type="numbering" w:styleId="WW8Num10" w:customStyle="1">
    <w:name w:val="WW8Num10"/>
    <w:rsid w:val="005d1651"/>
  </w:style>
  <w:style w:type="numbering" w:styleId="WW8Num2" w:customStyle="1">
    <w:name w:val="WW8Num2"/>
    <w:rsid w:val="005d1651"/>
  </w:style>
  <w:style w:type="numbering" w:styleId="WW8Num15" w:customStyle="1">
    <w:name w:val="WW8Num15"/>
    <w:rsid w:val="005d1651"/>
  </w:style>
  <w:style w:type="numbering" w:styleId="WW8Num14" w:customStyle="1">
    <w:name w:val="WW8Num14"/>
    <w:rsid w:val="005d1651"/>
  </w:style>
  <w:style w:type="numbering" w:styleId="WW8Num19" w:customStyle="1">
    <w:name w:val="WW8Num19"/>
    <w:rsid w:val="005d1651"/>
  </w:style>
  <w:style w:type="numbering" w:styleId="WW8Num25" w:customStyle="1">
    <w:name w:val="WW8Num25"/>
    <w:rsid w:val="005d1651"/>
  </w:style>
  <w:style w:type="numbering" w:styleId="WW8Num9" w:customStyle="1">
    <w:name w:val="WW8Num9"/>
    <w:rsid w:val="005d1651"/>
  </w:style>
  <w:style w:type="numbering" w:styleId="WW8Num7" w:customStyle="1">
    <w:name w:val="WW8Num7"/>
    <w:rsid w:val="005d165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w_mlawa@op.pl" TargetMode="External"/><Relationship Id="rId4" Type="http://schemas.openxmlformats.org/officeDocument/2006/relationships/hyperlink" Target="http://oswmlawa.esy.es/" TargetMode="External"/><Relationship Id="rId5" Type="http://schemas.openxmlformats.org/officeDocument/2006/relationships/hyperlink" Target="http://www.oswmlawa.bip.org.pl/" TargetMode="External"/><Relationship Id="rId6" Type="http://schemas.openxmlformats.org/officeDocument/2006/relationships/hyperlink" Target="mailto:osw_mlawa@op.pl" TargetMode="External"/><Relationship Id="rId7" Type="http://schemas.openxmlformats.org/officeDocument/2006/relationships/hyperlink" Target="http://www.oswmlawa.bip.org.pl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2015-05-18T10:17:00Z</cp:lastPrinted>
  <dcterms:modified xsi:type="dcterms:W3CDTF">2015-06-11T10:43:23Z</dcterms:modified>
  <cp:revision>315</cp:revision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